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B8AF" w14:textId="77777777" w:rsidR="00CF7D49" w:rsidRPr="00675F2D" w:rsidRDefault="00CF7D49" w:rsidP="00CF7D4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3DF456BD" wp14:editId="61B05EE2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89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74C6FC6A" w14:textId="77777777" w:rsidR="00CF7D49" w:rsidRPr="00675F2D" w:rsidRDefault="00CF7D49" w:rsidP="00CF7D49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10CE71DC" w14:textId="77777777" w:rsidR="00CF7D49" w:rsidRPr="00675F2D" w:rsidRDefault="00CF7D49" w:rsidP="00CF7D49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5AF2C86E" w14:textId="77777777" w:rsidR="00CF7D49" w:rsidRPr="00675F2D" w:rsidRDefault="00CF7D49" w:rsidP="00CF7D49">
      <w:pPr>
        <w:jc w:val="center"/>
      </w:pPr>
    </w:p>
    <w:p w14:paraId="2F00170D" w14:textId="77777777" w:rsidR="00CF7D49" w:rsidRPr="00675F2D" w:rsidRDefault="00CF7D49" w:rsidP="00CF7D49">
      <w:pPr>
        <w:jc w:val="center"/>
      </w:pPr>
    </w:p>
    <w:p w14:paraId="31812790" w14:textId="77777777" w:rsidR="00CF7D49" w:rsidRPr="00675F2D" w:rsidRDefault="00CF7D49" w:rsidP="00CF7D49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42D790FC" w14:textId="77777777" w:rsidR="00CF7D49" w:rsidRPr="00675F2D" w:rsidRDefault="00CF7D49" w:rsidP="00CF7D49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2E1ECEF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104B816A" w14:textId="77777777" w:rsidR="00CF7D49" w:rsidRPr="00675F2D" w:rsidRDefault="00CF7D49" w:rsidP="00CF7D49">
      <w:pPr>
        <w:jc w:val="center"/>
        <w:rPr>
          <w:rFonts w:eastAsia="Calibri"/>
          <w:szCs w:val="22"/>
          <w:lang w:eastAsia="en-US"/>
        </w:rPr>
      </w:pPr>
    </w:p>
    <w:p w14:paraId="3BB08B43" w14:textId="383BF6EF" w:rsidR="00CF7D49" w:rsidRPr="00675F2D" w:rsidRDefault="00CF7D49" w:rsidP="00CF7D49">
      <w:pPr>
        <w:jc w:val="center"/>
        <w:rPr>
          <w:rFonts w:eastAsia="Calibri"/>
          <w:b/>
          <w:lang w:eastAsia="en-US"/>
        </w:rPr>
      </w:pPr>
      <w:r w:rsidRPr="00CF7D49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2021 год</w:t>
      </w:r>
    </w:p>
    <w:p w14:paraId="7EDB5550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F64E54F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1CBDDC4C" w14:textId="77777777" w:rsidR="00CF7D49" w:rsidRPr="00675F2D" w:rsidRDefault="00CF7D49" w:rsidP="00CF7D49">
      <w:pPr>
        <w:jc w:val="center"/>
        <w:rPr>
          <w:rFonts w:eastAsia="Calibri"/>
          <w:lang w:eastAsia="en-US"/>
        </w:rPr>
      </w:pPr>
    </w:p>
    <w:p w14:paraId="3AB905DC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Руководствуясь частью 4 статьи 47 Федерального закона от 31.07.2020 № 248-ФЗ                     «О государственном контроле (надзоре) и муниципальном контроле в Российской Федерации»:</w:t>
      </w:r>
    </w:p>
    <w:p w14:paraId="67228FE0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</w:p>
    <w:p w14:paraId="33F6851A" w14:textId="4B7E7711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земельного контроля на территории городского округа Воскресенск Московской области за 2021 год</w:t>
      </w:r>
      <w:r w:rsidRPr="00675F2D">
        <w:rPr>
          <w:rFonts w:eastAsia="Calibri"/>
          <w:lang w:eastAsia="en-US"/>
        </w:rPr>
        <w:t>. (Приложение.)</w:t>
      </w:r>
    </w:p>
    <w:p w14:paraId="135D1289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49CCE4F" w14:textId="77777777" w:rsidR="00CF7D49" w:rsidRPr="00675F2D" w:rsidRDefault="00CF7D49" w:rsidP="00CF7D4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3. Контроль за исполнением настоящего постановления возложить на заместителя Главы Администрации городского округа Воскресенск Московской области Демихова В.Ю.</w:t>
      </w:r>
    </w:p>
    <w:p w14:paraId="3EA3A3E9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6D3FB30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D58163D" w14:textId="77777777" w:rsidR="00CF7D49" w:rsidRPr="00675F2D" w:rsidRDefault="00CF7D49" w:rsidP="00CF7D49">
      <w:pPr>
        <w:ind w:firstLine="708"/>
        <w:jc w:val="both"/>
        <w:rPr>
          <w:rFonts w:eastAsia="Calibri"/>
          <w:lang w:eastAsia="en-US"/>
        </w:rPr>
      </w:pPr>
    </w:p>
    <w:p w14:paraId="2759E5AC" w14:textId="77777777" w:rsidR="00CF7D49" w:rsidRPr="00675F2D" w:rsidRDefault="00CF7D49" w:rsidP="00CF7D49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Pr="00675F2D">
        <w:rPr>
          <w:rFonts w:eastAsia="Calibri"/>
          <w:lang w:eastAsia="en-US"/>
        </w:rPr>
        <w:t>А.В. Болотников</w:t>
      </w:r>
    </w:p>
    <w:p w14:paraId="50902575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44F9CB2D" w14:textId="77777777" w:rsidR="00CF7D49" w:rsidRPr="00675F2D" w:rsidRDefault="00CF7D49" w:rsidP="00CF7D49">
      <w:pPr>
        <w:spacing w:line="259" w:lineRule="auto"/>
        <w:jc w:val="both"/>
        <w:rPr>
          <w:rFonts w:eastAsia="Calibri"/>
          <w:lang w:eastAsia="en-US"/>
        </w:rPr>
      </w:pPr>
    </w:p>
    <w:p w14:paraId="1803FC93" w14:textId="77777777" w:rsidR="006854F6" w:rsidRDefault="006854F6" w:rsidP="00783343">
      <w:pPr>
        <w:jc w:val="both"/>
        <w:rPr>
          <w:lang w:eastAsia="en-US"/>
        </w:rPr>
      </w:pPr>
    </w:p>
    <w:p w14:paraId="6BFD5AA8" w14:textId="77777777" w:rsidR="006854F6" w:rsidRDefault="006854F6" w:rsidP="00783343">
      <w:pPr>
        <w:jc w:val="both"/>
        <w:rPr>
          <w:lang w:eastAsia="en-US"/>
        </w:rPr>
      </w:pPr>
    </w:p>
    <w:p w14:paraId="718BD544" w14:textId="77777777" w:rsidR="006854F6" w:rsidRDefault="006854F6" w:rsidP="00783343">
      <w:pPr>
        <w:jc w:val="both"/>
        <w:rPr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325D8E7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 </w:t>
      </w:r>
      <w:r w:rsidR="006854F6">
        <w:t xml:space="preserve">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141709E1" w14:textId="31F5656B" w:rsidR="00CA5FC2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150347">
        <w:t xml:space="preserve"> </w:t>
      </w:r>
      <w:r w:rsidR="00434CAF">
        <w:t>распоряжением</w:t>
      </w:r>
      <w:bookmarkStart w:id="0" w:name="_GoBack"/>
      <w:bookmarkEnd w:id="0"/>
      <w:r w:rsidR="00747317" w:rsidRPr="00282BFF">
        <w:t xml:space="preserve"> </w:t>
      </w:r>
      <w:r w:rsidR="00747317" w:rsidRPr="00282BFF">
        <w:br/>
      </w:r>
      <w:r>
        <w:t xml:space="preserve">      </w:t>
      </w:r>
      <w:r w:rsidR="00150347">
        <w:t xml:space="preserve"> </w:t>
      </w:r>
      <w:r w:rsidR="00CA5FC2" w:rsidRPr="00282BFF">
        <w:t>Администрации</w:t>
      </w:r>
    </w:p>
    <w:p w14:paraId="70F6C594" w14:textId="6DDCD7EE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6B46DB78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747317" w:rsidRPr="00282BFF">
        <w:t xml:space="preserve">Московской области </w:t>
      </w:r>
    </w:p>
    <w:p w14:paraId="0C437410" w14:textId="7A08D394" w:rsidR="00747317" w:rsidRPr="00282BFF" w:rsidRDefault="00D72FDA" w:rsidP="00640CAC">
      <w:pPr>
        <w:tabs>
          <w:tab w:val="left" w:pos="1701"/>
          <w:tab w:val="left" w:pos="2410"/>
        </w:tabs>
        <w:ind w:left="6237"/>
      </w:pPr>
      <w:r>
        <w:t xml:space="preserve"> 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№ </w:t>
      </w:r>
      <w:r w:rsidR="00CB6CB3" w:rsidRPr="00282BFF">
        <w:t xml:space="preserve"> </w:t>
      </w:r>
      <w:r w:rsidR="00CA5FC2" w:rsidRPr="00282BFF">
        <w:t>______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76DD0294" w:rsidR="00DC64A2" w:rsidRDefault="005055ED" w:rsidP="00F94192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</w:t>
      </w:r>
      <w:r w:rsidR="00F94192" w:rsidRPr="00F94192">
        <w:t>земельного контроля на территории городского округа Воскресенск Московской области</w:t>
      </w:r>
      <w:r w:rsidR="000F62B4">
        <w:t xml:space="preserve"> за 2021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16E75521" w:rsidR="004E36F3" w:rsidRPr="00282BFF" w:rsidRDefault="004E36F3" w:rsidP="00284283">
      <w:pPr>
        <w:tabs>
          <w:tab w:val="left" w:pos="567"/>
        </w:tabs>
        <w:ind w:firstLine="709"/>
        <w:jc w:val="both"/>
      </w:pPr>
      <w:r>
        <w:t xml:space="preserve">Доклад, содержащий результаты обобщения правоприменительной практики при осуществлении </w:t>
      </w:r>
      <w:r w:rsidR="00F94192" w:rsidRPr="00F94192">
        <w:t>муниципального земельного контроля на территории городского округа Воскресенск Московской области</w:t>
      </w:r>
      <w:r w:rsidRPr="004E36F3">
        <w:t xml:space="preserve"> за 2021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(далее - </w:t>
      </w:r>
      <w:r w:rsidR="00BF4B54">
        <w:t>Отдел</w:t>
      </w:r>
      <w:r>
        <w:t xml:space="preserve">) </w:t>
      </w:r>
      <w:r w:rsidR="00BF4B54">
        <w:t xml:space="preserve">                        </w:t>
      </w:r>
      <w:r>
        <w:t xml:space="preserve"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решения Совета депутатов городского округа Воскресенск Московской области от </w:t>
      </w:r>
      <w:r w:rsidR="00137C9E">
        <w:t>30</w:t>
      </w:r>
      <w:r>
        <w:t>.</w:t>
      </w:r>
      <w:r w:rsidR="00137C9E">
        <w:t>09</w:t>
      </w:r>
      <w:r>
        <w:t>.2021 № 4</w:t>
      </w:r>
      <w:r w:rsidR="000623C4">
        <w:t>1</w:t>
      </w:r>
      <w:r>
        <w:t>3/5</w:t>
      </w:r>
      <w:r w:rsidR="000623C4">
        <w:t>0</w:t>
      </w:r>
      <w:r>
        <w:t xml:space="preserve"> «</w:t>
      </w:r>
      <w:r w:rsidR="000623C4" w:rsidRPr="000623C4">
        <w:t>Об утверждении Положения о муниципальном земельном контроле на территории городского округа Воскресенск Московской области</w:t>
      </w:r>
      <w:r>
        <w:t xml:space="preserve">»  (далее – решение </w:t>
      </w:r>
      <w:r w:rsidRPr="004E36F3">
        <w:t>№ 4</w:t>
      </w:r>
      <w:r w:rsidR="000623C4">
        <w:t>1</w:t>
      </w:r>
      <w:r w:rsidRPr="004E36F3">
        <w:t>3/5</w:t>
      </w:r>
      <w:r w:rsidR="000623C4">
        <w:t>0</w:t>
      </w:r>
      <w:r>
        <w:t>).</w:t>
      </w:r>
    </w:p>
    <w:p w14:paraId="1114A949" w14:textId="25BD6DCD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</w:t>
      </w:r>
      <w:r w:rsidR="003A78CE" w:rsidRPr="003A78CE">
        <w:t>муниципального земельного контроля на территории городского округа Воскресенск Московской области</w:t>
      </w:r>
      <w:r>
        <w:t xml:space="preserve"> (далее – муниципальный контроль)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C88D3D4" w14:textId="712807A7" w:rsidR="00284283" w:rsidRDefault="00284283" w:rsidP="00046919">
      <w:pPr>
        <w:tabs>
          <w:tab w:val="left" w:pos="567"/>
        </w:tabs>
        <w:ind w:firstLine="709"/>
        <w:jc w:val="both"/>
      </w:pPr>
      <w:r>
        <w:t xml:space="preserve">До 30.12.2021 </w:t>
      </w:r>
      <w:r w:rsidR="006D0B64">
        <w:t>Отделом</w:t>
      </w:r>
      <w:r>
        <w:t xml:space="preserve"> осуществлялся</w:t>
      </w:r>
      <w:r w:rsidRPr="00284283">
        <w:t xml:space="preserve"> </w:t>
      </w:r>
      <w:r w:rsidR="00046919">
        <w:t>муниципальный земельный контроль                            за использованием земель на территории городского округа Воскресенск Московской области</w:t>
      </w:r>
      <w:r w:rsidR="006D0B64">
        <w:t xml:space="preserve">, в соответствии </w:t>
      </w:r>
      <w:r>
        <w:t xml:space="preserve">с административным регламентом </w:t>
      </w:r>
      <w:r w:rsidR="00046919">
        <w:t>исполнения муниципальной функции «Осуществление муниципального земельного контроля за использованием земель                              на территории городского округа Воскресенск Московской области</w:t>
      </w:r>
      <w:r>
        <w:t xml:space="preserve"> </w:t>
      </w:r>
      <w:r w:rsidR="00046919">
        <w:t xml:space="preserve">утвержденный постановлением Администрации городского округа Воскресенск </w:t>
      </w:r>
      <w:r>
        <w:t xml:space="preserve">от </w:t>
      </w:r>
      <w:r w:rsidR="00046919">
        <w:t>11</w:t>
      </w:r>
      <w:r w:rsidR="00FC5377">
        <w:t>.0</w:t>
      </w:r>
      <w:r w:rsidR="00046919">
        <w:t>3</w:t>
      </w:r>
      <w:r w:rsidR="00FC5377">
        <w:t xml:space="preserve">.2020 № </w:t>
      </w:r>
      <w:r w:rsidR="00046919">
        <w:t>934</w:t>
      </w:r>
      <w:r w:rsidR="00FC5377">
        <w:t xml:space="preserve"> </w:t>
      </w:r>
      <w:r w:rsidR="00046919">
        <w:t xml:space="preserve">                        </w:t>
      </w:r>
      <w:r w:rsidR="00FC5377">
        <w:t>«</w:t>
      </w:r>
      <w:r w:rsidR="00046919">
        <w:t>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                              на территории городского округа Воскресенск Московской области»</w:t>
      </w:r>
      <w:r w:rsidR="00FC5377">
        <w:t>.</w:t>
      </w:r>
    </w:p>
    <w:p w14:paraId="7848EB8C" w14:textId="000CA5B9" w:rsidR="00FC5377" w:rsidRPr="00282BFF" w:rsidRDefault="00FC5377" w:rsidP="00FC5377">
      <w:pPr>
        <w:tabs>
          <w:tab w:val="left" w:pos="567"/>
        </w:tabs>
        <w:ind w:firstLine="709"/>
        <w:jc w:val="both"/>
      </w:pPr>
      <w:r>
        <w:t xml:space="preserve">В соответствии с </w:t>
      </w:r>
      <w:r w:rsidR="004F1AD6" w:rsidRPr="004F1AD6">
        <w:t xml:space="preserve">Федеральным законом от 11.06.2021 № 170-ФЗ «О внесении изменений                       в отдельные законодательные акты Российской Федерации, в связи с принятием Федерального закона </w:t>
      </w:r>
      <w:r w:rsidR="006D0B64">
        <w:t xml:space="preserve">№ 248-ФЗ </w:t>
      </w:r>
      <w:r>
        <w:t xml:space="preserve">установлен вид </w:t>
      </w:r>
      <w:r w:rsidR="000F7055" w:rsidRPr="000F7055">
        <w:t>муниципально</w:t>
      </w:r>
      <w:r w:rsidR="000F7055">
        <w:t>го</w:t>
      </w:r>
      <w:r w:rsidR="000F7055" w:rsidRPr="000F7055">
        <w:t xml:space="preserve"> земельно</w:t>
      </w:r>
      <w:r w:rsidR="000F7055">
        <w:t>го</w:t>
      </w:r>
      <w:r w:rsidR="000F7055" w:rsidRPr="000F7055">
        <w:t xml:space="preserve"> контрол</w:t>
      </w:r>
      <w:r w:rsidR="000F7055">
        <w:t>я</w:t>
      </w:r>
      <w:r>
        <w:t>.</w:t>
      </w:r>
    </w:p>
    <w:p w14:paraId="1D189E77" w14:textId="0DDE885E" w:rsidR="00946067" w:rsidRDefault="002B4611" w:rsidP="00002AD7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 xml:space="preserve">С </w:t>
      </w:r>
      <w:r w:rsidR="001117BA">
        <w:t>30.09</w:t>
      </w:r>
      <w:r w:rsidR="00FC5377" w:rsidRPr="00FC5377">
        <w:t>.2021 решение</w:t>
      </w:r>
      <w:r w:rsidR="00FC5377">
        <w:t>м</w:t>
      </w:r>
      <w:r w:rsidR="00FC5377" w:rsidRPr="00FC5377">
        <w:t xml:space="preserve"> № 4</w:t>
      </w:r>
      <w:r w:rsidR="001117BA">
        <w:t>1</w:t>
      </w:r>
      <w:r w:rsidR="00FC5377" w:rsidRPr="00FC5377">
        <w:t>3/5</w:t>
      </w:r>
      <w:r w:rsidR="001117BA">
        <w:t>0</w:t>
      </w:r>
      <w:r w:rsidR="00FC5377" w:rsidRPr="00FC5377">
        <w:t xml:space="preserve"> на территории городского округа Воскресенск Московской области утверждено</w:t>
      </w:r>
      <w:r w:rsidR="00FC5377">
        <w:t xml:space="preserve"> положение </w:t>
      </w:r>
      <w:r w:rsidR="00FC5377" w:rsidRPr="00FC5377">
        <w:t xml:space="preserve">о </w:t>
      </w:r>
      <w:r w:rsidR="001117BA" w:rsidRPr="001117BA">
        <w:t xml:space="preserve">муниципальном земельном контроле </w:t>
      </w:r>
      <w:r w:rsidR="001117BA">
        <w:t xml:space="preserve">                         </w:t>
      </w:r>
      <w:r w:rsidR="001117BA" w:rsidRPr="001117BA">
        <w:t>на территории городского округа Воскресенск Московской области</w:t>
      </w:r>
      <w:r w:rsidR="00FC5377">
        <w:t>.</w:t>
      </w:r>
    </w:p>
    <w:p w14:paraId="4CBB91E8" w14:textId="2F2D9E4D" w:rsidR="00132AD4" w:rsidRDefault="00132AD4" w:rsidP="001117BA">
      <w:pPr>
        <w:tabs>
          <w:tab w:val="left" w:pos="567"/>
        </w:tabs>
        <w:spacing w:line="276" w:lineRule="auto"/>
        <w:ind w:firstLine="709"/>
        <w:jc w:val="both"/>
      </w:pPr>
      <w:r>
        <w:t xml:space="preserve">Предметом муниципального контроля </w:t>
      </w:r>
      <w:r w:rsidR="001117BA" w:rsidRPr="001117BA">
        <w:t>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</w:t>
      </w:r>
      <w:r>
        <w:t>.</w:t>
      </w:r>
    </w:p>
    <w:p w14:paraId="4E4DB541" w14:textId="1A3D5B0B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При осуществлении </w:t>
      </w:r>
      <w:r>
        <w:t xml:space="preserve">муниципального контроля </w:t>
      </w:r>
      <w:r w:rsidR="00830777">
        <w:t>Отдел</w:t>
      </w:r>
      <w:r>
        <w:t xml:space="preserve">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</w:t>
      </w:r>
      <w:r w:rsidRPr="00132AD4">
        <w:t xml:space="preserve"> </w:t>
      </w:r>
      <w:r>
        <w:t>муниципального контроля на автомобильном транспорте, городском наземном электрическом транспорте и в дорожном хозяйстве                          на территории городского округа Воскресенск Московской области.</w:t>
      </w:r>
    </w:p>
    <w:p w14:paraId="30586094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5ECD04C6" w14:textId="74D1D153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Ежегодный план проведения плановых контрольных (надзорных) </w:t>
      </w:r>
      <w:r>
        <w:t>мероприятий формируется в соответствии с требованиями Федерального закона № 248-ФЗ.</w:t>
      </w:r>
    </w:p>
    <w:p w14:paraId="7BE0915C" w14:textId="67DB1054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Разработка ежегодного плана проведения плановых контрольных (надзорных)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                     с органами прокуратуры, включения в него и исключения из него контрольных (надзорных) мероприятий в течение года».</w:t>
      </w:r>
    </w:p>
    <w:p w14:paraId="5A0E673E" w14:textId="3ECBB7AC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 w:rsidRPr="00132AD4">
        <w:t xml:space="preserve">В </w:t>
      </w:r>
      <w:r>
        <w:t>связи</w:t>
      </w:r>
      <w:r w:rsidRPr="00132AD4">
        <w:t xml:space="preserve"> с Федеральным законом от 11.06.2021 № 170-ФЗ </w:t>
      </w:r>
      <w:r w:rsidR="004F1AD6">
        <w:t>«</w:t>
      </w:r>
      <w:r w:rsidR="004F1AD6" w:rsidRPr="004F1AD6">
        <w:t xml:space="preserve">О внесении изменений </w:t>
      </w:r>
      <w:r w:rsidR="004F1AD6">
        <w:t xml:space="preserve">                      </w:t>
      </w:r>
      <w:r w:rsidR="004F1AD6" w:rsidRPr="004F1AD6">
        <w:t>в отдельные законодательные акты Российской Федерации</w:t>
      </w:r>
      <w:r w:rsidR="00C14C5E">
        <w:t>,</w:t>
      </w:r>
      <w:r w:rsidR="004F1AD6" w:rsidRPr="004F1AD6">
        <w:t xml:space="preserve"> в связи с принятием Федерального закона </w:t>
      </w:r>
      <w:r w:rsidR="00326EF8" w:rsidRPr="00326EF8">
        <w:t>№ 248-ФЗ</w:t>
      </w:r>
      <w:r w:rsidR="004F1AD6">
        <w:t>,</w:t>
      </w:r>
      <w:r w:rsidR="00C14C5E">
        <w:t xml:space="preserve"> Отделом</w:t>
      </w:r>
      <w:r>
        <w:t xml:space="preserve"> план проведения плановых конт</w:t>
      </w:r>
      <w:r w:rsidR="00057984">
        <w:t>рольных (надзорных) мероприятий</w:t>
      </w:r>
      <w:r>
        <w:t xml:space="preserve"> на 2022 год не утверждался.</w:t>
      </w:r>
    </w:p>
    <w:p w14:paraId="17426CE4" w14:textId="5A1913CC" w:rsidR="00C14C5E" w:rsidRDefault="00C14C5E" w:rsidP="00132AD4">
      <w:pPr>
        <w:tabs>
          <w:tab w:val="left" w:pos="567"/>
        </w:tabs>
        <w:spacing w:line="276" w:lineRule="auto"/>
        <w:ind w:firstLine="709"/>
        <w:jc w:val="both"/>
      </w:pPr>
      <w:r>
        <w:t xml:space="preserve">Плановые </w:t>
      </w:r>
      <w:r w:rsidRPr="00C14C5E">
        <w:t>и внеплановые контрольно-надзорные мероприятия в 20</w:t>
      </w:r>
      <w:r>
        <w:t xml:space="preserve">21 году Отделом      </w:t>
      </w:r>
      <w:r w:rsidRPr="00C14C5E">
        <w:t xml:space="preserve"> не провод</w:t>
      </w:r>
      <w:r>
        <w:t>ились</w:t>
      </w:r>
      <w:r w:rsidR="000B09FE">
        <w:t xml:space="preserve"> </w:t>
      </w:r>
      <w:r w:rsidR="000B09FE" w:rsidRPr="000B09FE">
        <w:t xml:space="preserve">вследствие отсутствия оснований для их </w:t>
      </w:r>
      <w:r w:rsidR="000B09FE">
        <w:t>проведения.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674C5274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 xml:space="preserve">в 2021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118C8A75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 xml:space="preserve">В 2021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23AA0156" w14:textId="77777777" w:rsidR="00902442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4C021702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lastRenderedPageBreak/>
        <w:t>к административной ответственности</w:t>
      </w:r>
    </w:p>
    <w:p w14:paraId="6B345ACB" w14:textId="1895427C" w:rsidR="00E61ED5" w:rsidRDefault="00E61ED5" w:rsidP="00E61ED5">
      <w:pPr>
        <w:tabs>
          <w:tab w:val="left" w:pos="567"/>
        </w:tabs>
        <w:spacing w:line="276" w:lineRule="auto"/>
        <w:ind w:firstLine="709"/>
        <w:jc w:val="both"/>
      </w:pPr>
      <w:r>
        <w:t>В 2021 году должностными лиц</w:t>
      </w:r>
      <w:r w:rsidR="000848D1">
        <w:t xml:space="preserve">ами </w:t>
      </w:r>
      <w:r w:rsidR="00BF058D">
        <w:t>Отдела</w:t>
      </w:r>
      <w:r w:rsidR="000848D1">
        <w:t xml:space="preserve"> протоколы </w:t>
      </w:r>
      <w:r>
        <w:t>об административных правонарушениях в с</w:t>
      </w:r>
      <w:r w:rsidR="000848D1">
        <w:t xml:space="preserve">вязи с нарушениями обязательных </w:t>
      </w:r>
      <w:r>
        <w:t>требований контролируемыми лицами</w:t>
      </w:r>
      <w:r w:rsidR="000848D1">
        <w:t xml:space="preserve"> не составлялись. Случаи отказа </w:t>
      </w:r>
      <w:r>
        <w:t>в привлечении контролируемых лиц, их до</w:t>
      </w:r>
      <w:r w:rsidR="000848D1">
        <w:t xml:space="preserve">лжностных лиц                   к предусмотренной </w:t>
      </w:r>
      <w:r>
        <w:t>законодательством административной ответственности отсутствовали.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7A538223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2021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контролируемым лицам по результатам проведения контрольных (надзорных) мероприятий </w:t>
      </w:r>
      <w:r>
        <w:t xml:space="preserve">не выдавались </w:t>
      </w:r>
      <w:r w:rsidRPr="00B805EB">
        <w:t xml:space="preserve">вследствие отсутствия оснований для их </w:t>
      </w:r>
      <w:r>
        <w:t>выдачи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5743FE8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2021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0BD4C9B4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 xml:space="preserve">В 2021 году в рамках осуществления муниципального контроля </w:t>
      </w:r>
      <w:r w:rsidR="00C42BFB">
        <w:t>Отделом профилактические</w:t>
      </w:r>
      <w:r>
        <w:t xml:space="preserve"> мероприятия</w:t>
      </w:r>
      <w:r w:rsidR="00C42BFB" w:rsidRPr="00C42BFB">
        <w:t xml:space="preserve"> </w:t>
      </w:r>
      <w:r w:rsidR="00C42BFB">
        <w:t>не проводились</w:t>
      </w:r>
      <w:r w:rsidR="00C42BFB" w:rsidRPr="00C42BFB">
        <w:t xml:space="preserve"> вследствие отсутствия оснований для их </w:t>
      </w:r>
      <w:r w:rsidR="00C42BFB">
        <w:t>проведения.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43494"/>
    <w:rsid w:val="00046919"/>
    <w:rsid w:val="000540F2"/>
    <w:rsid w:val="000576B9"/>
    <w:rsid w:val="00057984"/>
    <w:rsid w:val="00060DCB"/>
    <w:rsid w:val="000623C4"/>
    <w:rsid w:val="00062660"/>
    <w:rsid w:val="00067E0E"/>
    <w:rsid w:val="000715B7"/>
    <w:rsid w:val="00071639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0F7055"/>
    <w:rsid w:val="00107089"/>
    <w:rsid w:val="001117BA"/>
    <w:rsid w:val="00127A39"/>
    <w:rsid w:val="00132AD4"/>
    <w:rsid w:val="00134B72"/>
    <w:rsid w:val="00137C9E"/>
    <w:rsid w:val="00140188"/>
    <w:rsid w:val="00144E5B"/>
    <w:rsid w:val="00150347"/>
    <w:rsid w:val="00164E06"/>
    <w:rsid w:val="00182103"/>
    <w:rsid w:val="00182E6F"/>
    <w:rsid w:val="00184218"/>
    <w:rsid w:val="00187091"/>
    <w:rsid w:val="001878C3"/>
    <w:rsid w:val="0019371F"/>
    <w:rsid w:val="00194C9D"/>
    <w:rsid w:val="001B026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3822"/>
    <w:rsid w:val="002747C9"/>
    <w:rsid w:val="0027488C"/>
    <w:rsid w:val="00282BFF"/>
    <w:rsid w:val="00282EBA"/>
    <w:rsid w:val="00284283"/>
    <w:rsid w:val="002A2A26"/>
    <w:rsid w:val="002A3724"/>
    <w:rsid w:val="002A37C5"/>
    <w:rsid w:val="002B4611"/>
    <w:rsid w:val="002C37D6"/>
    <w:rsid w:val="002C3A38"/>
    <w:rsid w:val="002C6708"/>
    <w:rsid w:val="002E2D3B"/>
    <w:rsid w:val="002F50CE"/>
    <w:rsid w:val="00316C97"/>
    <w:rsid w:val="00321583"/>
    <w:rsid w:val="00326851"/>
    <w:rsid w:val="00326EF8"/>
    <w:rsid w:val="0036004C"/>
    <w:rsid w:val="003604E0"/>
    <w:rsid w:val="003631AA"/>
    <w:rsid w:val="003704AC"/>
    <w:rsid w:val="003A1976"/>
    <w:rsid w:val="003A4C47"/>
    <w:rsid w:val="003A5A99"/>
    <w:rsid w:val="003A689D"/>
    <w:rsid w:val="003A78CE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4CAF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E0256"/>
    <w:rsid w:val="004E36F3"/>
    <w:rsid w:val="004E4F40"/>
    <w:rsid w:val="004F1AD6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D7126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4144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716"/>
    <w:rsid w:val="006F3442"/>
    <w:rsid w:val="006F3FEF"/>
    <w:rsid w:val="007020A9"/>
    <w:rsid w:val="007057AF"/>
    <w:rsid w:val="00726331"/>
    <w:rsid w:val="00747317"/>
    <w:rsid w:val="00747C95"/>
    <w:rsid w:val="007555FC"/>
    <w:rsid w:val="00761091"/>
    <w:rsid w:val="0076541C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6424"/>
    <w:rsid w:val="00900144"/>
    <w:rsid w:val="00902442"/>
    <w:rsid w:val="009024F2"/>
    <w:rsid w:val="00904F46"/>
    <w:rsid w:val="009071AF"/>
    <w:rsid w:val="00923E93"/>
    <w:rsid w:val="00931B1C"/>
    <w:rsid w:val="0094601C"/>
    <w:rsid w:val="00946067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B3947"/>
    <w:rsid w:val="00AC0345"/>
    <w:rsid w:val="00AC1AB0"/>
    <w:rsid w:val="00AC30B3"/>
    <w:rsid w:val="00AE24C6"/>
    <w:rsid w:val="00AF7658"/>
    <w:rsid w:val="00AF7DC0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CF7D49"/>
    <w:rsid w:val="00D01C53"/>
    <w:rsid w:val="00D14C0C"/>
    <w:rsid w:val="00D4380A"/>
    <w:rsid w:val="00D43A22"/>
    <w:rsid w:val="00D46DBE"/>
    <w:rsid w:val="00D47190"/>
    <w:rsid w:val="00D672EA"/>
    <w:rsid w:val="00D673FD"/>
    <w:rsid w:val="00D72FDA"/>
    <w:rsid w:val="00D82BEA"/>
    <w:rsid w:val="00D972B7"/>
    <w:rsid w:val="00DB3EA2"/>
    <w:rsid w:val="00DC2C6E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34331"/>
    <w:rsid w:val="00E36AB2"/>
    <w:rsid w:val="00E36FB1"/>
    <w:rsid w:val="00E375DB"/>
    <w:rsid w:val="00E42408"/>
    <w:rsid w:val="00E437AF"/>
    <w:rsid w:val="00E61851"/>
    <w:rsid w:val="00E61ED5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94192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36F3-7D43-4A31-BB9F-2E47045B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131</cp:revision>
  <cp:lastPrinted>2022-05-19T11:54:00Z</cp:lastPrinted>
  <dcterms:created xsi:type="dcterms:W3CDTF">2021-10-07T11:33:00Z</dcterms:created>
  <dcterms:modified xsi:type="dcterms:W3CDTF">2022-06-14T12:53:00Z</dcterms:modified>
</cp:coreProperties>
</file>