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8E" w:rsidRPr="00E03E3E" w:rsidRDefault="000F608E" w:rsidP="00B10E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нформаци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наиболее значимых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положительных изменениях</w:t>
      </w:r>
      <w:r w:rsidR="00226EC7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B10EE5"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экономическим показателям</w:t>
      </w:r>
      <w:r w:rsidRPr="00E03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2022 год</w:t>
      </w:r>
    </w:p>
    <w:p w:rsidR="00B10EE5" w:rsidRDefault="00B10EE5" w:rsidP="00B10EE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EE5" w:rsidRPr="00B10EE5" w:rsidRDefault="00B10EE5" w:rsidP="00E03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EE5">
        <w:rPr>
          <w:rFonts w:ascii="Times New Roman" w:hAnsi="Times New Roman" w:cs="Times New Roman"/>
          <w:sz w:val="28"/>
          <w:szCs w:val="28"/>
        </w:rPr>
        <w:t>Основные экономические показатели, показавшие рост в 2022 году</w:t>
      </w:r>
    </w:p>
    <w:tbl>
      <w:tblPr>
        <w:tblpPr w:leftFromText="180" w:rightFromText="180" w:bottomFromText="200" w:vertAnchor="text" w:tblpY="1"/>
        <w:tblOverlap w:val="never"/>
        <w:tblW w:w="9489" w:type="dxa"/>
        <w:tblLook w:val="04A0" w:firstRow="1" w:lastRow="0" w:firstColumn="1" w:lastColumn="0" w:noHBand="0" w:noVBand="1"/>
      </w:tblPr>
      <w:tblGrid>
        <w:gridCol w:w="3561"/>
        <w:gridCol w:w="1393"/>
        <w:gridCol w:w="1056"/>
        <w:gridCol w:w="1056"/>
        <w:gridCol w:w="1176"/>
        <w:gridCol w:w="1247"/>
      </w:tblGrid>
      <w:tr w:rsidR="00B10EE5" w:rsidRPr="00B10EE5" w:rsidTr="00E5032E">
        <w:trPr>
          <w:trHeight w:val="33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2022/2021</w:t>
            </w:r>
          </w:p>
        </w:tc>
      </w:tr>
      <w:tr w:rsidR="00B10EE5" w:rsidRPr="00B10EE5" w:rsidTr="00B10EE5">
        <w:trPr>
          <w:trHeight w:val="330"/>
        </w:trPr>
        <w:tc>
          <w:tcPr>
            <w:tcW w:w="9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4E3C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</w:t>
            </w:r>
          </w:p>
        </w:tc>
      </w:tr>
      <w:tr w:rsidR="00182CD6" w:rsidRPr="00B10EE5" w:rsidTr="00182C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D6" w:rsidRPr="00182CD6" w:rsidRDefault="00182CD6" w:rsidP="00182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D6" w:rsidRDefault="00182CD6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D6" w:rsidRDefault="00182CD6" w:rsidP="00B10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D6" w:rsidRDefault="00182CD6" w:rsidP="00B10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D6" w:rsidRDefault="00182CD6" w:rsidP="00B10E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CD6" w:rsidRDefault="00182CD6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105,4%</w:t>
            </w:r>
          </w:p>
        </w:tc>
      </w:tr>
      <w:tr w:rsidR="00B10EE5" w:rsidRPr="00B10EE5" w:rsidTr="00182C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182CD6" w:rsidP="00182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182CD6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r w:rsidR="00B10EE5" w:rsidRPr="00B10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.рублей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182CD6" w:rsidP="00B10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54 529,7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182CD6" w:rsidP="00B10E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70 923,2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182CD6" w:rsidP="00B10E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80 248,7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182CD6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  <w:r w:rsidR="00B10EE5" w:rsidRPr="00B10E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0EE5" w:rsidRPr="00B10EE5" w:rsidTr="00182CD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B10EE5" w:rsidP="00B10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Число субъектов МСП в расчете на 10 тыс. чел.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313,05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343,33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B10EE5" w:rsidRPr="00B10EE5" w:rsidTr="00182CD6">
        <w:trPr>
          <w:trHeight w:val="8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E50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EE5" w:rsidRPr="00B10EE5" w:rsidTr="00E5032E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51 410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56 179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61 797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</w:tr>
      <w:tr w:rsidR="00B10EE5" w:rsidRPr="00B10EE5" w:rsidTr="00E5032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46 851,8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52 327,3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59 967,8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EE5" w:rsidRPr="00B10EE5" w:rsidRDefault="00B10EE5" w:rsidP="00B10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E5">
              <w:rPr>
                <w:rFonts w:ascii="Times New Roman" w:hAnsi="Times New Roman" w:cs="Times New Roman"/>
                <w:sz w:val="24"/>
                <w:szCs w:val="24"/>
              </w:rPr>
              <w:t>114,6%</w:t>
            </w:r>
          </w:p>
        </w:tc>
      </w:tr>
      <w:tr w:rsidR="00E5032E" w:rsidRPr="00B10EE5" w:rsidTr="00E5032E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2E" w:rsidRPr="00E5032E" w:rsidRDefault="00E5032E" w:rsidP="00E50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32E" w:rsidRPr="00E5032E" w:rsidRDefault="00E5032E" w:rsidP="00E5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32E" w:rsidRPr="00E5032E" w:rsidRDefault="00E5032E" w:rsidP="00E5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32 931,9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32E" w:rsidRPr="00E5032E" w:rsidRDefault="00E5032E" w:rsidP="00E5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36 492,0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32E" w:rsidRPr="00E5032E" w:rsidRDefault="00E5032E" w:rsidP="00E5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38 973,46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32E" w:rsidRPr="00E5032E" w:rsidRDefault="00E5032E" w:rsidP="00E5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32E">
              <w:rPr>
                <w:rFonts w:ascii="Times New Roman" w:hAnsi="Times New Roman" w:cs="Times New Roman"/>
                <w:sz w:val="24"/>
                <w:szCs w:val="24"/>
              </w:rPr>
              <w:t>106,8%</w:t>
            </w:r>
          </w:p>
        </w:tc>
      </w:tr>
    </w:tbl>
    <w:p w:rsidR="00B10EE5" w:rsidRDefault="00B10EE5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E" w:rsidRDefault="00E03E3E" w:rsidP="00E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CD6" w:rsidRDefault="00C25E4F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15335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2CD6" w:rsidRDefault="00C25E4F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8DC83" wp14:editId="335082B4">
            <wp:extent cx="5772150" cy="15335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2CD6" w:rsidRDefault="00182CD6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2CD6" w:rsidRDefault="00C25E4F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FE2EA6" wp14:editId="2D50770A">
            <wp:extent cx="5724525" cy="15335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5E4F" w:rsidRDefault="00C25E4F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4CFDC" wp14:editId="7BE6F76C">
            <wp:extent cx="5724525" cy="2438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3E3E" w:rsidRDefault="00E03E3E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75C5" w:rsidRPr="00B10EE5" w:rsidRDefault="00BF75C5" w:rsidP="00BF75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EE5">
        <w:rPr>
          <w:rFonts w:ascii="Times New Roman" w:hAnsi="Times New Roman" w:cs="Times New Roman"/>
          <w:sz w:val="28"/>
          <w:szCs w:val="28"/>
        </w:rPr>
        <w:t>Уровень безработицы по итогам 2022 года снизился относительно 2020 и 2021 годов и составил 0,47%. В 2021 году – 0,64%, в 2020 году – 3%.</w:t>
      </w:r>
    </w:p>
    <w:p w:rsidR="000F608E" w:rsidRPr="00B10EE5" w:rsidRDefault="00BF75C5" w:rsidP="00C25E4F">
      <w:pPr>
        <w:ind w:left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3E3E" w:rsidRDefault="00E03E3E" w:rsidP="00E03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3E" w:rsidRDefault="00E03E3E" w:rsidP="00E03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3E" w:rsidRDefault="00E03E3E" w:rsidP="00E03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3E" w:rsidRDefault="00E03E3E" w:rsidP="00E03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3E" w:rsidRDefault="00E03E3E" w:rsidP="00E03E3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E3E" w:rsidRPr="00B10EE5" w:rsidRDefault="00E03E3E" w:rsidP="00E03E3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E5">
        <w:rPr>
          <w:rFonts w:ascii="Times New Roman" w:eastAsia="Calibri" w:hAnsi="Times New Roman" w:cs="Times New Roman"/>
          <w:sz w:val="28"/>
          <w:szCs w:val="28"/>
        </w:rPr>
        <w:t>В 2022 году установленный Министерством экономики и финансов МО показатель эффективности работы муниципальных образований в части снижения задолженности в консолидированный бюджет МО, выполнен городским округом Воскресенск на 211,4 %.</w:t>
      </w:r>
    </w:p>
    <w:p w:rsidR="00E03E3E" w:rsidRPr="00B10EE5" w:rsidRDefault="00E03E3E" w:rsidP="00E03E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0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BF0ED6" wp14:editId="5BA8FB23">
            <wp:extent cx="6467475" cy="28289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5E4F" w:rsidRDefault="00C25E4F" w:rsidP="00BF75C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25E4F" w:rsidSect="00E03E3E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C7"/>
    <w:rsid w:val="000F608E"/>
    <w:rsid w:val="00182CD6"/>
    <w:rsid w:val="00226EC7"/>
    <w:rsid w:val="002B2130"/>
    <w:rsid w:val="00B10EE5"/>
    <w:rsid w:val="00BF75C5"/>
    <w:rsid w:val="00C25E4F"/>
    <w:rsid w:val="00D25BB8"/>
    <w:rsid w:val="00DC2074"/>
    <w:rsid w:val="00E03E3E"/>
    <w:rsid w:val="00E5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4A3C-2327-440C-ACAF-27B97E1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постоянного населения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Лист1!$B$2</c:f>
              <c:numCache>
                <c:formatCode>#,##0</c:formatCode>
                <c:ptCount val="1"/>
                <c:pt idx="0">
                  <c:v>152948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Лист1!$C$2</c:f>
              <c:numCache>
                <c:formatCode>#,##0</c:formatCode>
                <c:ptCount val="1"/>
                <c:pt idx="0">
                  <c:v>152848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Человек</c:v>
                </c:pt>
              </c:strCache>
            </c:strRef>
          </c:cat>
          <c:val>
            <c:numRef>
              <c:f>Лист1!$D$2</c:f>
              <c:numCache>
                <c:formatCode>#,##0</c:formatCode>
                <c:ptCount val="1"/>
                <c:pt idx="0">
                  <c:v>161178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3064960"/>
        <c:axId val="184163000"/>
      </c:barChart>
      <c:catAx>
        <c:axId val="483064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163000"/>
        <c:crosses val="autoZero"/>
        <c:auto val="1"/>
        <c:lblAlgn val="ctr"/>
        <c:lblOffset val="100"/>
        <c:noMultiLvlLbl val="0"/>
      </c:catAx>
      <c:valAx>
        <c:axId val="184163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6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Отгружено товаров собственного производства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Млн. рублей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54529.7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Млн. рублей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70923.199999999997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Млн. рублей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80248.7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4562032"/>
        <c:axId val="184165224"/>
      </c:barChart>
      <c:catAx>
        <c:axId val="184562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165224"/>
        <c:crosses val="autoZero"/>
        <c:auto val="1"/>
        <c:lblAlgn val="ctr"/>
        <c:lblOffset val="100"/>
        <c:noMultiLvlLbl val="0"/>
      </c:catAx>
      <c:valAx>
        <c:axId val="184165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56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Число субъектов МСП в расчете на 10 тыс. чел. населения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Единиц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313.05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Единиц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327.10000000000002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Единиц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343.33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3002768"/>
        <c:axId val="483018912"/>
      </c:barChart>
      <c:catAx>
        <c:axId val="183002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18912"/>
        <c:crosses val="autoZero"/>
        <c:auto val="1"/>
        <c:lblAlgn val="ctr"/>
        <c:lblOffset val="100"/>
        <c:noMultiLvlLbl val="0"/>
      </c:catAx>
      <c:valAx>
        <c:axId val="48301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00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Среднемесячная номинальная начисленная заработная плата работников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муниципальных дошкольных образовательных учреждений</c:v>
                </c:pt>
                <c:pt idx="1">
                  <c:v>муниципальных общеобразовательных учреждений </c:v>
                </c:pt>
                <c:pt idx="2">
                  <c:v>крупных и средних предприятий и некоммерческих организаций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32931.9</c:v>
                </c:pt>
                <c:pt idx="1">
                  <c:v>46851.8</c:v>
                </c:pt>
                <c:pt idx="2" formatCode="#,##0">
                  <c:v>51410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муниципальных дошкольных образовательных учреждений</c:v>
                </c:pt>
                <c:pt idx="1">
                  <c:v>муниципальных общеобразовательных учреждений </c:v>
                </c:pt>
                <c:pt idx="2">
                  <c:v>крупных и средних предприятий и некоммерческих организаций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36492</c:v>
                </c:pt>
                <c:pt idx="1">
                  <c:v>52327.3</c:v>
                </c:pt>
                <c:pt idx="2" formatCode="#,##0">
                  <c:v>56179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муниципальных дошкольных образовательных учреждений</c:v>
                </c:pt>
                <c:pt idx="1">
                  <c:v>муниципальных общеобразовательных учреждений </c:v>
                </c:pt>
                <c:pt idx="2">
                  <c:v>крупных и средних предприятий и некоммерческих организаций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38973.46</c:v>
                </c:pt>
                <c:pt idx="1">
                  <c:v>59967.8</c:v>
                </c:pt>
                <c:pt idx="2" formatCode="#,##0">
                  <c:v>61797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3278096"/>
        <c:axId val="184878144"/>
      </c:barChart>
      <c:catAx>
        <c:axId val="48327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878144"/>
        <c:crosses val="autoZero"/>
        <c:auto val="1"/>
        <c:lblAlgn val="ctr"/>
        <c:lblOffset val="100"/>
        <c:noMultiLvlLbl val="0"/>
      </c:catAx>
      <c:valAx>
        <c:axId val="1848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27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82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 sz="1391" b="0"/>
              <a:t>Сравнительная динамика уровня безработицы </a:t>
            </a:r>
          </a:p>
          <a:p>
            <a:pPr>
              <a:defRPr sz="1382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 sz="1391" b="0"/>
              <a:t>за период 2020 - 2022гг, %</a:t>
            </a:r>
          </a:p>
        </c:rich>
      </c:tx>
      <c:layout/>
      <c:overlay val="0"/>
      <c:spPr>
        <a:noFill/>
        <a:ln w="2523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Лист1!$B$18</c:f>
              <c:strCache>
                <c:ptCount val="1"/>
                <c:pt idx="0">
                  <c:v>2020</c:v>
                </c:pt>
              </c:strCache>
            </c:strRef>
          </c:tx>
          <c:spPr>
            <a:ln w="3154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rgbClr val="5B9BD5"/>
              </a:solidFill>
              <a:ln w="6310">
                <a:noFill/>
              </a:ln>
            </c:spPr>
          </c:marker>
          <c:dLbls>
            <c:spPr>
              <a:noFill/>
              <a:ln w="25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4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Лист1!$A$19:$A$30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Лист1!$B$19:$B$30</c:f>
              <c:numCache>
                <c:formatCode>General</c:formatCode>
                <c:ptCount val="12"/>
                <c:pt idx="0">
                  <c:v>0.51</c:v>
                </c:pt>
                <c:pt idx="1">
                  <c:v>0.72</c:v>
                </c:pt>
                <c:pt idx="2">
                  <c:v>0.7</c:v>
                </c:pt>
                <c:pt idx="3">
                  <c:v>1.36</c:v>
                </c:pt>
                <c:pt idx="4">
                  <c:v>2.38</c:v>
                </c:pt>
                <c:pt idx="5">
                  <c:v>2.93</c:v>
                </c:pt>
                <c:pt idx="6">
                  <c:v>3.27</c:v>
                </c:pt>
                <c:pt idx="7">
                  <c:v>3.34</c:v>
                </c:pt>
                <c:pt idx="8">
                  <c:v>3.4</c:v>
                </c:pt>
                <c:pt idx="9">
                  <c:v>3.3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2021</c:v>
                </c:pt>
              </c:strCache>
            </c:strRef>
          </c:tx>
          <c:spPr>
            <a:ln w="3154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rgbClr val="ED7D31"/>
              </a:solidFill>
              <a:ln w="6310">
                <a:noFill/>
              </a:ln>
            </c:spPr>
          </c:marker>
          <c:dLbls>
            <c:dLbl>
              <c:idx val="0"/>
              <c:layout>
                <c:manualLayout>
                  <c:x val="-3.5862068965517246E-2"/>
                  <c:y val="-4.4673551606881405E-2"/>
                </c:manualLayout>
              </c:layout>
              <c:spPr>
                <a:noFill/>
                <a:ln w="25239">
                  <a:noFill/>
                </a:ln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9980885147977194E-2"/>
                  <c:y val="-3.0927843420148728E-2"/>
                </c:manualLayout>
              </c:layout>
              <c:spPr>
                <a:noFill/>
                <a:ln w="25239">
                  <a:noFill/>
                </a:ln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4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Лист1!$A$19:$A$30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Лист1!$C$19:$C$30</c:f>
              <c:numCache>
                <c:formatCode>General</c:formatCode>
                <c:ptCount val="12"/>
                <c:pt idx="0">
                  <c:v>2.9</c:v>
                </c:pt>
                <c:pt idx="1">
                  <c:v>2.6</c:v>
                </c:pt>
                <c:pt idx="2">
                  <c:v>2.6</c:v>
                </c:pt>
                <c:pt idx="3">
                  <c:v>1.8</c:v>
                </c:pt>
                <c:pt idx="4">
                  <c:v>1.5</c:v>
                </c:pt>
                <c:pt idx="5">
                  <c:v>1.5</c:v>
                </c:pt>
                <c:pt idx="6">
                  <c:v>1.4</c:v>
                </c:pt>
                <c:pt idx="7">
                  <c:v>1.1000000000000001</c:v>
                </c:pt>
                <c:pt idx="8">
                  <c:v>1.04</c:v>
                </c:pt>
                <c:pt idx="9">
                  <c:v>0.87</c:v>
                </c:pt>
                <c:pt idx="10">
                  <c:v>0.69</c:v>
                </c:pt>
                <c:pt idx="11">
                  <c:v>0.64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Лист1!$D$18</c:f>
              <c:strCache>
                <c:ptCount val="1"/>
                <c:pt idx="0">
                  <c:v>2022</c:v>
                </c:pt>
              </c:strCache>
            </c:strRef>
          </c:tx>
          <c:spPr>
            <a:ln w="3154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6"/>
            <c:spPr>
              <a:solidFill>
                <a:srgbClr val="A5A5A5"/>
              </a:solidFill>
              <a:ln w="6310">
                <a:noFill/>
              </a:ln>
            </c:spPr>
          </c:marker>
          <c:dLbls>
            <c:dLbl>
              <c:idx val="0"/>
              <c:layout>
                <c:manualLayout>
                  <c:x val="-3.534712643678161E-2"/>
                  <c:y val="4.8109978653564651E-2"/>
                </c:manualLayout>
              </c:layout>
              <c:spPr>
                <a:noFill/>
                <a:ln w="25239">
                  <a:noFill/>
                </a:ln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8946402389356501E-2"/>
                  <c:y val="4.1237124560198221E-2"/>
                </c:manualLayout>
              </c:layout>
              <c:spPr>
                <a:noFill/>
                <a:ln w="25239">
                  <a:noFill/>
                </a:ln>
              </c:spPr>
              <c:txPr>
                <a:bodyPr/>
                <a:lstStyle/>
                <a:p>
                  <a:pPr>
                    <a:defRPr sz="894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23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4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Лист1!$A$19:$A$30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Лист1!$D$19:$D$30</c:f>
              <c:numCache>
                <c:formatCode>General</c:formatCode>
                <c:ptCount val="12"/>
                <c:pt idx="0">
                  <c:v>0.64</c:v>
                </c:pt>
                <c:pt idx="1">
                  <c:v>0.65</c:v>
                </c:pt>
                <c:pt idx="2">
                  <c:v>0.56999999999999995</c:v>
                </c:pt>
                <c:pt idx="3">
                  <c:v>0.57999999999999996</c:v>
                </c:pt>
                <c:pt idx="4">
                  <c:v>0.56000000000000005</c:v>
                </c:pt>
                <c:pt idx="5">
                  <c:v>0.6</c:v>
                </c:pt>
                <c:pt idx="6">
                  <c:v>0.59</c:v>
                </c:pt>
                <c:pt idx="7">
                  <c:v>0.56999999999999995</c:v>
                </c:pt>
                <c:pt idx="8">
                  <c:v>0.54</c:v>
                </c:pt>
                <c:pt idx="9">
                  <c:v>0.53</c:v>
                </c:pt>
                <c:pt idx="10">
                  <c:v>0.51</c:v>
                </c:pt>
                <c:pt idx="11">
                  <c:v>0.47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350672"/>
        <c:axId val="483351064"/>
      </c:lineChart>
      <c:catAx>
        <c:axId val="48335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893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4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3351064"/>
        <c:crosses val="autoZero"/>
        <c:auto val="1"/>
        <c:lblAlgn val="ctr"/>
        <c:lblOffset val="100"/>
        <c:noMultiLvlLbl val="0"/>
      </c:catAx>
      <c:valAx>
        <c:axId val="483351064"/>
        <c:scaling>
          <c:orientation val="minMax"/>
        </c:scaling>
        <c:delete val="1"/>
        <c:axPos val="l"/>
        <c:majorGridlines>
          <c:spPr>
            <a:ln w="946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83350672"/>
        <c:crosses val="autoZero"/>
        <c:crossBetween val="between"/>
      </c:valAx>
      <c:spPr>
        <a:noFill/>
        <a:ln w="25239">
          <a:noFill/>
        </a:ln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/>
        <a:lstStyle/>
        <a:p>
          <a:pPr>
            <a:defRPr sz="82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6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3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3" b="1" i="0" baseline="0"/>
              <a:t>Исполнение ключевого показателя эффективности по снижению налоговой задолженности в 2022  году, млн. руб.</a:t>
            </a:r>
          </a:p>
        </c:rich>
      </c:tx>
      <c:layout/>
      <c:overlay val="0"/>
      <c:spPr>
        <a:noFill/>
        <a:ln w="252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2692038495188102E-2"/>
          <c:y val="0.18560185185185185"/>
          <c:w val="0.78619685039370091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2060"/>
            </a:solidFill>
            <a:ln w="25252">
              <a:noFill/>
            </a:ln>
          </c:spPr>
          <c:invertIfNegative val="0"/>
          <c:dLbls>
            <c:spPr>
              <a:noFill/>
              <a:ln w="2525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3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Лист1!$A$3:$A$4</c:f>
              <c:strCache>
                <c:ptCount val="2"/>
                <c:pt idx="0">
                  <c:v>план</c:v>
                </c:pt>
                <c:pt idx="1">
                  <c:v>факт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114.7</c:v>
                </c:pt>
                <c:pt idx="1">
                  <c:v>242.4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8920832"/>
        <c:axId val="490451768"/>
      </c:barChart>
      <c:catAx>
        <c:axId val="48892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6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3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451768"/>
        <c:crossesAt val="70"/>
        <c:auto val="1"/>
        <c:lblAlgn val="ctr"/>
        <c:lblOffset val="100"/>
        <c:noMultiLvlLbl val="0"/>
      </c:catAx>
      <c:valAx>
        <c:axId val="490451768"/>
        <c:scaling>
          <c:orientation val="minMax"/>
          <c:min val="70.5"/>
        </c:scaling>
        <c:delete val="0"/>
        <c:axPos val="l"/>
        <c:majorGridlines>
          <c:spPr>
            <a:ln w="9469" cap="flat" cmpd="sng" algn="ctr"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9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920832"/>
        <c:crosses val="autoZero"/>
        <c:crossBetween val="between"/>
      </c:valAx>
      <c:spPr>
        <a:noFill/>
        <a:ln w="25252">
          <a:noFill/>
        </a:ln>
      </c:spPr>
    </c:plotArea>
    <c:plotVisOnly val="1"/>
    <c:dispBlanksAs val="gap"/>
    <c:showDLblsOverMax val="0"/>
  </c:chart>
  <c:spPr>
    <a:solidFill>
      <a:schemeClr val="bg1"/>
    </a:solidFill>
    <a:ln w="946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Николай Алексеевич</dc:creator>
  <cp:keywords/>
  <dc:description/>
  <cp:lastModifiedBy>Зубцова Евгения Александровна</cp:lastModifiedBy>
  <cp:revision>3</cp:revision>
  <cp:lastPrinted>2023-02-15T14:21:00Z</cp:lastPrinted>
  <dcterms:created xsi:type="dcterms:W3CDTF">2023-02-15T14:36:00Z</dcterms:created>
  <dcterms:modified xsi:type="dcterms:W3CDTF">2023-02-28T08:24:00Z</dcterms:modified>
</cp:coreProperties>
</file>