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1D" w:rsidRPr="00EC2457" w:rsidRDefault="005056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</w:t>
      </w:r>
      <w:r w:rsidR="00BC13C9"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городского округа Воскресенск</w:t>
      </w: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8198A" w:rsidRPr="00EC2457" w:rsidRDefault="00BC13C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EC2457"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1 полугодие </w:t>
      </w: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C2457" w:rsidRPr="00EC24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3419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8198A" w:rsidRPr="00EC2457" w:rsidRDefault="00B8198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913D4" w:rsidRPr="00EC2457" w:rsidRDefault="001913D4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</w:p>
    <w:p w:rsidR="00EB3733" w:rsidRPr="002A270D" w:rsidRDefault="00AF3EA1" w:rsidP="002A27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Исполнение бюджета за 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 полугодие 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BC13C9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-202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573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г.г.</w:t>
      </w:r>
      <w:r w:rsidR="00BC13C9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млн. рублей</w:t>
      </w:r>
    </w:p>
    <w:p w:rsidR="00857664" w:rsidRPr="002A270D" w:rsidRDefault="00857664" w:rsidP="002A27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857664" w:rsidRPr="002A270D" w:rsidRDefault="00266A6A" w:rsidP="002A27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A270D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03838EB3" wp14:editId="2BCDC389">
            <wp:extent cx="6000750" cy="2771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36AC" w:rsidRPr="00994C11" w:rsidRDefault="00BC36AC" w:rsidP="002A270D">
      <w:pPr>
        <w:suppressAutoHyphens/>
        <w:ind w:left="10" w:right="43" w:firstLine="5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бюджета по итогам 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полугодия 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составили 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701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ростом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1 полугодию 2022 года на 1</w:t>
      </w:r>
      <w:r w:rsidR="000003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03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65D6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к 1 полугодию 2021 года на 25,8 %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исполнены в объеме 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771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приростом к уровню</w:t>
      </w:r>
      <w:r w:rsidR="0000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полугодия: 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на 21,5 %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года на 27,8 %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7D6E" w:rsidRPr="002A270D" w:rsidRDefault="00BC36AC" w:rsidP="002A270D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округа исполнен с 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фицитом в сумме </w:t>
      </w:r>
      <w:r w:rsid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</w:t>
      </w:r>
      <w:r w:rsid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03460B" w:rsidRPr="0003460B" w:rsidRDefault="0003460B" w:rsidP="00F42BFD">
      <w:pPr>
        <w:overflowPunct w:val="0"/>
        <w:autoSpaceDE w:val="0"/>
        <w:autoSpaceDN w:val="0"/>
        <w:adjustRightInd w:val="0"/>
        <w:spacing w:line="276" w:lineRule="auto"/>
        <w:ind w:right="-284" w:firstLine="540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Исполнение бюджета городского округа Воскресенск за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 полугодие </w:t>
      </w:r>
      <w:r w:rsidRPr="0003460B">
        <w:rPr>
          <w:rFonts w:ascii="Times New Roman" w:hAnsi="Times New Roman" w:cs="Times New Roman"/>
          <w:noProof/>
          <w:sz w:val="24"/>
          <w:szCs w:val="24"/>
        </w:rPr>
        <w:t>202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 по доходам составило </w:t>
      </w:r>
      <w:r>
        <w:rPr>
          <w:rFonts w:ascii="Times New Roman" w:hAnsi="Times New Roman" w:cs="Times New Roman"/>
          <w:noProof/>
          <w:sz w:val="24"/>
          <w:szCs w:val="24"/>
        </w:rPr>
        <w:t>3 701,9</w:t>
      </w: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 млн.рублей или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03460B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,2</w:t>
      </w:r>
      <w:r w:rsidRPr="0003460B">
        <w:rPr>
          <w:rFonts w:ascii="Times New Roman" w:hAnsi="Times New Roman" w:cs="Times New Roman"/>
          <w:noProof/>
          <w:sz w:val="24"/>
          <w:szCs w:val="24"/>
        </w:rPr>
        <w:t>% процента к уточненному годовому плану. Уточненный годовой план бюджета город</w:t>
      </w:r>
      <w:r>
        <w:rPr>
          <w:rFonts w:ascii="Times New Roman" w:hAnsi="Times New Roman" w:cs="Times New Roman"/>
          <w:noProof/>
          <w:sz w:val="24"/>
          <w:szCs w:val="24"/>
        </w:rPr>
        <w:t>ского округа Воскресенск на 2023</w:t>
      </w: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 год по доходам составил </w:t>
      </w:r>
      <w:r>
        <w:rPr>
          <w:rFonts w:ascii="Times New Roman" w:hAnsi="Times New Roman" w:cs="Times New Roman"/>
          <w:noProof/>
          <w:sz w:val="24"/>
          <w:szCs w:val="24"/>
        </w:rPr>
        <w:t>7 526,9</w:t>
      </w:r>
      <w:r w:rsidRPr="0003460B">
        <w:rPr>
          <w:rFonts w:ascii="Times New Roman" w:hAnsi="Times New Roman" w:cs="Times New Roman"/>
          <w:noProof/>
          <w:sz w:val="24"/>
          <w:szCs w:val="24"/>
        </w:rPr>
        <w:t xml:space="preserve"> млн. рублей.</w:t>
      </w:r>
    </w:p>
    <w:p w:rsidR="008968C2" w:rsidRPr="004834FD" w:rsidRDefault="008968C2" w:rsidP="008968C2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 средств доходн</w:t>
      </w:r>
      <w:r w:rsidR="00B364C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</w:t>
      </w:r>
      <w:r w:rsidR="00B364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округа, являются налоговые и неналоговые доходы.</w:t>
      </w:r>
    </w:p>
    <w:p w:rsidR="00F42BFD" w:rsidRDefault="008968C2" w:rsidP="00F42BFD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rPr>
          <w:rFonts w:ascii="Times New Roman" w:hAnsi="Times New Roman" w:cs="Times New Roman"/>
          <w:sz w:val="24"/>
          <w:szCs w:val="24"/>
        </w:rPr>
      </w:pP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и неналоговые доходы в бюджет городского округа Воскресенск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полугодие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поступили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1 808,0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44,3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уточненного годового плана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4 078,0</w:t>
      </w:r>
      <w:r w:rsidR="00A52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</w:t>
      </w:r>
      <w:r w:rsidR="00781FC6" w:rsidRPr="009970AE">
        <w:rPr>
          <w:rFonts w:ascii="Times New Roman" w:hAnsi="Times New Roman" w:cs="Times New Roman"/>
          <w:sz w:val="24"/>
          <w:szCs w:val="24"/>
        </w:rPr>
        <w:t>рост к аналогичному периоду прошлого года</w:t>
      </w:r>
      <w:r w:rsidR="00A5222C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81FC6" w:rsidRPr="009970AE">
        <w:rPr>
          <w:rFonts w:ascii="Times New Roman" w:hAnsi="Times New Roman" w:cs="Times New Roman"/>
          <w:sz w:val="24"/>
          <w:szCs w:val="24"/>
        </w:rPr>
        <w:t xml:space="preserve"> 131,5 млн. рублей или плюс 7,8 %, и на 304,1 млн. рублей больше, </w:t>
      </w:r>
      <w:r w:rsidR="00F42BFD">
        <w:rPr>
          <w:rFonts w:ascii="Times New Roman" w:hAnsi="Times New Roman" w:cs="Times New Roman"/>
          <w:sz w:val="24"/>
          <w:szCs w:val="24"/>
        </w:rPr>
        <w:t>чем в 2021 году или плюс 20,2 %.</w:t>
      </w:r>
    </w:p>
    <w:p w:rsidR="00192EDC" w:rsidRDefault="00906436" w:rsidP="00F42BFD">
      <w:pPr>
        <w:pBdr>
          <w:top w:val="nil"/>
          <w:left w:val="nil"/>
          <w:bottom w:val="nil"/>
          <w:right w:val="nil"/>
          <w:between w:val="nil"/>
        </w:pBdr>
        <w:suppressAutoHyphens/>
        <w:ind w:firstLine="557"/>
        <w:rPr>
          <w:rFonts w:ascii="Times New Roman" w:hAnsi="Times New Roman" w:cs="Times New Roman"/>
          <w:sz w:val="24"/>
          <w:szCs w:val="24"/>
        </w:rPr>
      </w:pP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приведена структура </w:t>
      </w:r>
      <w:r w:rsidR="0032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собственных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 городского округа Воскресенск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полугодие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разрезе видов доходов</w:t>
      </w:r>
      <w:r w:rsidR="00C81858" w:rsidRPr="00F42BFD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3CD17FF9" wp14:editId="18632A17">
            <wp:extent cx="6600825" cy="34194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2BFD" w:rsidRPr="00F42BFD" w:rsidRDefault="00F42BFD" w:rsidP="00F42BFD">
      <w:pPr>
        <w:pBdr>
          <w:top w:val="nil"/>
          <w:left w:val="nil"/>
          <w:bottom w:val="nil"/>
          <w:right w:val="nil"/>
          <w:between w:val="nil"/>
        </w:pBdr>
        <w:suppressAutoHyphens/>
        <w:ind w:firstLine="557"/>
        <w:rPr>
          <w:rFonts w:ascii="Times New Roman" w:hAnsi="Times New Roman" w:cs="Times New Roman"/>
          <w:sz w:val="24"/>
          <w:szCs w:val="24"/>
        </w:rPr>
      </w:pPr>
    </w:p>
    <w:p w:rsidR="00506F9F" w:rsidRDefault="00F42BFD" w:rsidP="00F4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6F9F" w:rsidRPr="00AF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Наибольший объем средств получен по </w:t>
      </w:r>
      <w:r w:rsidR="00506F9F" w:rsidRPr="000146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налогу на доходы физических лиц</w:t>
      </w:r>
      <w:r w:rsidR="00506F9F" w:rsidRPr="00AF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1 295,4 млн. рублей или 35 % от всех доходов бюджета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Темп роста поступлений по НДФЛ +3,6 % к уровню 1 полугодия 2022 года, + 20,6 %</w:t>
      </w:r>
      <w:r w:rsidR="0050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уровню 1 полугодия 2021 года. </w:t>
      </w:r>
      <w:r w:rsidR="00506F9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НДФЛ связан с созданием новых предприятий на территори</w:t>
      </w:r>
      <w:r w:rsidR="00B370C1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городского округа Воскресенск и</w:t>
      </w:r>
      <w:r w:rsidR="00682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увеличением числа</w:t>
      </w:r>
      <w:r w:rsidR="00290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мест, открытие</w:t>
      </w:r>
      <w:r w:rsidR="000667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0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линий у действующих предприятий.</w:t>
      </w:r>
    </w:p>
    <w:p w:rsidR="00BC36AC" w:rsidRPr="0084455F" w:rsidRDefault="00BC36AC" w:rsidP="001F1D43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из бюджета Московской области в бюджет округа в </w:t>
      </w:r>
      <w:r w:rsidR="00EF46C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полугодии 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F46C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составили </w:t>
      </w:r>
      <w:r w:rsidR="00EF46C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6C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893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02B0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что на </w:t>
      </w:r>
      <w:r w:rsidR="00202B0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246,5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выше аналогичного периода прошлого года. Увеличение безвозмездных поступлений в отчетном </w:t>
      </w:r>
      <w:r w:rsidR="001B6E3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произошло за счет субсидий: на </w:t>
      </w:r>
      <w:r w:rsidR="005E746B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работ по 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>капитальн</w:t>
      </w:r>
      <w:r w:rsidR="005E746B" w:rsidRPr="0084455F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ремонту 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 xml:space="preserve">зданий региональных (муниципальных) 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171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рублей, </w:t>
      </w:r>
      <w:r w:rsidRPr="0084455F">
        <w:t xml:space="preserve"> 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рублей,  на  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сохранение объектов культурного наследия (памятников истории и культуры), находящихся в собственности муниципальных образований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в сумме 11,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рублей, </w:t>
      </w:r>
      <w:r w:rsidR="005943B1" w:rsidRPr="0084455F">
        <w:rPr>
          <w:rFonts w:ascii="Times New Roman" w:eastAsia="Times New Roman" w:hAnsi="Times New Roman" w:cs="Times New Roman"/>
          <w:sz w:val="24"/>
          <w:szCs w:val="24"/>
        </w:rPr>
        <w:t>на приобретение музыкальных инструментов для муниципальных организаций дополнительного образования в сфере к</w:t>
      </w:r>
      <w:r w:rsidR="0084455F" w:rsidRPr="0084455F">
        <w:rPr>
          <w:rFonts w:ascii="Times New Roman" w:eastAsia="Times New Roman" w:hAnsi="Times New Roman" w:cs="Times New Roman"/>
          <w:sz w:val="24"/>
          <w:szCs w:val="24"/>
        </w:rPr>
        <w:t>ультуры в сумме 10,8 млн. рублей;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 xml:space="preserve">субвенции на 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жильем детей сирот 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>25,5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</w:t>
      </w:r>
      <w:r w:rsidR="0084455F" w:rsidRPr="008445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BFD" w:rsidRDefault="00716D41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В состав безвозмездных поступлений входят: субвенции 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1 418,1</w:t>
      </w:r>
      <w:r w:rsidR="0010233F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рублей или 7</w:t>
      </w:r>
      <w:r w:rsidR="009F58C7" w:rsidRPr="008445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24E8">
        <w:rPr>
          <w:rFonts w:ascii="Times New Roman" w:eastAsia="Times New Roman" w:hAnsi="Times New Roman" w:cs="Times New Roman"/>
          <w:sz w:val="24"/>
          <w:szCs w:val="24"/>
        </w:rPr>
        <w:t>9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поступлений; субсидии – 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7 млн. рублей или 1</w:t>
      </w:r>
      <w:r w:rsidR="009F58C7" w:rsidRPr="008445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2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поступлений; межбюджетные трансферты 1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 или 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>7,7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% от общей 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>суммы безвозмездных поступлений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6AC" w:rsidRPr="001B6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B31" w:rsidRDefault="00347B31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sz w:val="24"/>
          <w:szCs w:val="24"/>
        </w:rPr>
      </w:pPr>
    </w:p>
    <w:p w:rsidR="00284C64" w:rsidRDefault="00D16797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1 полугодии 2023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реализацию 18 муниципальных программ направлено 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698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E1368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0C41C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на 2,3% больше по сравнению с аналогичным периодом (</w:t>
      </w:r>
      <w:r w:rsidR="0032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полугодие 2022 года реализация составила </w:t>
      </w:r>
      <w:r w:rsidR="00325376" w:rsidRPr="00325376">
        <w:rPr>
          <w:rFonts w:ascii="Times New Roman" w:eastAsia="Times New Roman" w:hAnsi="Times New Roman" w:cs="Times New Roman"/>
          <w:color w:val="000000"/>
          <w:sz w:val="24"/>
          <w:szCs w:val="24"/>
        </w:rPr>
        <w:t>3086,2</w:t>
      </w:r>
      <w:r w:rsidR="0032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</w:t>
      </w:r>
      <w:r w:rsidR="000C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44,3%).</w:t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5482"/>
        <w:gridCol w:w="1748"/>
        <w:gridCol w:w="1701"/>
        <w:gridCol w:w="1559"/>
      </w:tblGrid>
      <w:tr w:rsidR="00192EDC" w:rsidRPr="00037A83" w:rsidTr="000E30AC">
        <w:trPr>
          <w:trHeight w:val="69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EDC" w:rsidRPr="009A0D11" w:rsidRDefault="00192EDC" w:rsidP="009A0D11">
            <w:pPr>
              <w:ind w:firstLine="88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0D11">
              <w:rPr>
                <w:rFonts w:ascii="Times New Roman" w:eastAsia="Times New Roman" w:hAnsi="Times New Roman" w:cs="Times New Roman"/>
                <w:bCs/>
                <w:color w:val="000000"/>
              </w:rPr>
              <w:t>Сравнительный анализ расходов бюджета городского округа Воскресенск по муниципальным программам городского округа Воскресенск</w:t>
            </w:r>
          </w:p>
        </w:tc>
      </w:tr>
      <w:tr w:rsidR="00192EDC" w:rsidRPr="00037A83" w:rsidTr="000E30AC">
        <w:trPr>
          <w:trHeight w:val="45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92EDC" w:rsidRPr="00037A83" w:rsidTr="00525582">
        <w:trPr>
          <w:trHeight w:val="31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Ед.изм.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млн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.руб.</w:t>
            </w:r>
          </w:p>
        </w:tc>
      </w:tr>
      <w:tr w:rsidR="00192EDC" w:rsidRPr="00037A83" w:rsidTr="00525582">
        <w:trPr>
          <w:trHeight w:val="6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0E30AC" w:rsidP="000E30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1-ое полугодие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1-ое полугодие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0E30A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Отклонение</w:t>
            </w:r>
          </w:p>
        </w:tc>
      </w:tr>
      <w:tr w:rsidR="00192EDC" w:rsidRPr="00037A83" w:rsidTr="00525582">
        <w:trPr>
          <w:trHeight w:val="27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373E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73EE1">
              <w:rPr>
                <w:rFonts w:ascii="Times New Roman" w:eastAsia="Times New Roman" w:hAnsi="Times New Roman" w:cs="Times New Roman"/>
                <w:color w:val="000000"/>
              </w:rPr>
              <w:t>=3-2</w:t>
            </w:r>
          </w:p>
        </w:tc>
      </w:tr>
      <w:tr w:rsidR="00192EDC" w:rsidRPr="00037A83" w:rsidTr="00525582">
        <w:trPr>
          <w:trHeight w:val="45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92EDC" w:rsidRPr="00037A83" w:rsidTr="00525582">
        <w:trPr>
          <w:trHeight w:val="55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2.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Культура и туризм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</w:tr>
      <w:tr w:rsidR="00192EDC" w:rsidRPr="00037A83" w:rsidTr="00525582">
        <w:trPr>
          <w:trHeight w:val="6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3.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1 699,2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265,2</w:t>
            </w:r>
          </w:p>
        </w:tc>
      </w:tr>
      <w:tr w:rsidR="00192EDC" w:rsidRPr="00037A83" w:rsidTr="00525582">
        <w:trPr>
          <w:trHeight w:val="67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4.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Социальная защита населения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-34,6</w:t>
            </w:r>
          </w:p>
        </w:tc>
      </w:tr>
      <w:tr w:rsidR="00192EDC" w:rsidRPr="00037A83" w:rsidTr="00525582">
        <w:trPr>
          <w:trHeight w:val="43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5.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</w:tr>
      <w:tr w:rsidR="00192EDC" w:rsidRPr="00037A83" w:rsidTr="00525582">
        <w:trPr>
          <w:trHeight w:val="60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6.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сельского хозяйства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-1,0</w:t>
            </w:r>
          </w:p>
        </w:tc>
      </w:tr>
      <w:tr w:rsidR="00192EDC" w:rsidRPr="00037A83" w:rsidTr="00525582">
        <w:trPr>
          <w:trHeight w:val="63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7.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Экология и окружающая среда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-0,1</w:t>
            </w:r>
          </w:p>
        </w:tc>
      </w:tr>
      <w:tr w:rsidR="00192EDC" w:rsidRPr="00037A83" w:rsidTr="00525582">
        <w:trPr>
          <w:trHeight w:val="7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8.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Безопасность и обеспечение безопасности жизнедеятельности населения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192EDC" w:rsidRPr="00037A83" w:rsidTr="00525582">
        <w:trPr>
          <w:trHeight w:val="4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9.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Жилище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</w:tr>
      <w:tr w:rsidR="00192EDC" w:rsidRPr="00037A83" w:rsidTr="00525582">
        <w:trPr>
          <w:trHeight w:val="951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10.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инженерной инфраструктуры, энергоэффективности и отрасли обращения с отходами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145,5</w:t>
            </w:r>
          </w:p>
        </w:tc>
      </w:tr>
      <w:tr w:rsidR="00192EDC" w:rsidRPr="00037A83" w:rsidTr="00525582">
        <w:trPr>
          <w:trHeight w:val="45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11.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Предпринимательство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9D234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92EDC" w:rsidRPr="00037A83" w:rsidTr="00525582">
        <w:trPr>
          <w:trHeight w:val="7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12.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и муниципальными финансами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9D234D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</w:tr>
      <w:tr w:rsidR="00192EDC" w:rsidRPr="00037A83" w:rsidTr="00525582">
        <w:trPr>
          <w:trHeight w:val="112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13.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</w:tr>
      <w:tr w:rsidR="00192EDC" w:rsidRPr="00037A83" w:rsidTr="00525582">
        <w:trPr>
          <w:trHeight w:val="7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14.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 функционирование дорожно-транспортного комплекса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192EDC" w:rsidRPr="00037A83" w:rsidTr="00525582">
        <w:trPr>
          <w:trHeight w:val="67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15.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Цифровое муниципальное образование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  <w:tr w:rsidR="00192EDC" w:rsidRPr="00037A83" w:rsidTr="00525582">
        <w:trPr>
          <w:trHeight w:val="6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16.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Архитектура и градостроительство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192EDC" w:rsidRPr="00037A83" w:rsidTr="00525582">
        <w:trPr>
          <w:trHeight w:val="6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17.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Формирование современной комфортной городской среды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192EDC" w:rsidRPr="00037A83" w:rsidTr="00525582">
        <w:trPr>
          <w:trHeight w:val="7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18.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Переселение граждан из аварийного жилищного фонда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-4,8</w:t>
            </w:r>
          </w:p>
        </w:tc>
      </w:tr>
      <w:tr w:rsidR="00192EDC" w:rsidRPr="00037A83" w:rsidTr="00525582">
        <w:trPr>
          <w:trHeight w:val="3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3063A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EDC" w:rsidRPr="00037A83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373EE1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612,5</w:t>
            </w:r>
          </w:p>
        </w:tc>
      </w:tr>
    </w:tbl>
    <w:p w:rsidR="00347B31" w:rsidRDefault="00347B31" w:rsidP="009A0D11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57" w:rsidRDefault="003A71E0" w:rsidP="009A0D11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муниципального </w:t>
      </w:r>
      <w:r w:rsidR="00511F57" w:rsidRPr="004B6EB6"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1F57" w:rsidRPr="004B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</w:t>
      </w:r>
      <w:r w:rsidR="004B6EB6" w:rsidRPr="004B6EB6">
        <w:rPr>
          <w:rFonts w:ascii="Times New Roman" w:eastAsia="Times New Roman" w:hAnsi="Times New Roman" w:cs="Times New Roman"/>
          <w:color w:val="000000"/>
          <w:sz w:val="24"/>
          <w:szCs w:val="24"/>
        </w:rPr>
        <w:t>1 полугодия 2023</w:t>
      </w:r>
      <w:r w:rsidR="00511F57" w:rsidRPr="004B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 </w:t>
      </w:r>
      <w:r w:rsid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>233</w:t>
      </w:r>
      <w:r w:rsidR="00511F57" w:rsidRP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>,6 млн.</w:t>
      </w:r>
      <w:r w:rsidR="00E13684" w:rsidRP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в том числе по муниципальным гарантиям в сумме 111,4 млн.</w:t>
      </w:r>
      <w:r w:rsidR="000E3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и по бюджетному кредиту в сумме 122,2 млн.</w:t>
      </w:r>
      <w:r w:rsidR="000E3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347B31" w:rsidRPr="009A0D11" w:rsidRDefault="00347B31" w:rsidP="009A0D11">
      <w:pPr>
        <w:ind w:firstLine="708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67D6E" w:rsidRDefault="00347B31" w:rsidP="001F1D43">
      <w:pPr>
        <w:shd w:val="clear" w:color="auto" w:fill="FFFFFF"/>
        <w:suppressAutoHyphens/>
        <w:ind w:left="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Финансовым управлением Администрации городского округа Воскресенск Московской области Московской области на официальном сайте</w:t>
      </w:r>
      <w:r w:rsidRPr="00347B31">
        <w:t xml:space="preserve"> </w:t>
      </w: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Воскресенск Московской области Московской области в направлении ФИНАНСЫ-ОТКРЫТЫЙ БЮДЖЕТ- ИСПОЛНЕНИЕ БЮДЖЕТА </w:t>
      </w:r>
      <w:bookmarkStart w:id="0" w:name="_GoBack"/>
      <w:bookmarkEnd w:id="0"/>
      <w:r w:rsidR="00D74FA8"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информация по исполнению бюджета по ссылке: </w:t>
      </w:r>
      <w:hyperlink r:id="rId10" w:history="1">
        <w:r w:rsidR="00D804DB" w:rsidRPr="00347B31">
          <w:rPr>
            <w:rStyle w:val="affff6"/>
            <w:rFonts w:ascii="Times New Roman" w:eastAsia="Times New Roman" w:hAnsi="Times New Roman" w:cs="Times New Roman"/>
            <w:sz w:val="24"/>
            <w:szCs w:val="24"/>
          </w:rPr>
          <w:t>https://vos-mo.ru/napravleniya/finansy/otkrytyy-byudzhet/ispolnenie-byudzheta/otchetnost-ob-ispolnenii-byudzheta/</w:t>
        </w:r>
      </w:hyperlink>
      <w:r w:rsidR="00D804DB"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68C2" w:rsidRDefault="008968C2" w:rsidP="001F1D43">
      <w:pPr>
        <w:shd w:val="clear" w:color="auto" w:fill="FFFFFF"/>
        <w:suppressAutoHyphens/>
        <w:ind w:left="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968C2" w:rsidSect="00D3064B">
      <w:footerReference w:type="default" r:id="rId11"/>
      <w:pgSz w:w="11906" w:h="16838"/>
      <w:pgMar w:top="426" w:right="707" w:bottom="1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0" w:rsidRDefault="00B35240">
      <w:r>
        <w:separator/>
      </w:r>
    </w:p>
  </w:endnote>
  <w:endnote w:type="continuationSeparator" w:id="0">
    <w:p w:rsidR="00B35240" w:rsidRDefault="00B3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0" w:rsidRDefault="00B3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0" w:rsidRDefault="00B35240">
      <w:r>
        <w:separator/>
      </w:r>
    </w:p>
  </w:footnote>
  <w:footnote w:type="continuationSeparator" w:id="0">
    <w:p w:rsidR="00B35240" w:rsidRDefault="00B3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0034A"/>
    <w:rsid w:val="000044DE"/>
    <w:rsid w:val="0001460B"/>
    <w:rsid w:val="00015471"/>
    <w:rsid w:val="00030CDF"/>
    <w:rsid w:val="0003460B"/>
    <w:rsid w:val="000407CE"/>
    <w:rsid w:val="0006082E"/>
    <w:rsid w:val="0006678A"/>
    <w:rsid w:val="00093A25"/>
    <w:rsid w:val="000C41CD"/>
    <w:rsid w:val="000E30AC"/>
    <w:rsid w:val="0010233F"/>
    <w:rsid w:val="001218CE"/>
    <w:rsid w:val="0013063A"/>
    <w:rsid w:val="001441AC"/>
    <w:rsid w:val="00150B13"/>
    <w:rsid w:val="0015183E"/>
    <w:rsid w:val="00167340"/>
    <w:rsid w:val="00174F6A"/>
    <w:rsid w:val="001913D4"/>
    <w:rsid w:val="00192EDC"/>
    <w:rsid w:val="001B6E3F"/>
    <w:rsid w:val="001C13BC"/>
    <w:rsid w:val="001C1EA4"/>
    <w:rsid w:val="001D54DA"/>
    <w:rsid w:val="001E6BF0"/>
    <w:rsid w:val="001F1D43"/>
    <w:rsid w:val="001F6B58"/>
    <w:rsid w:val="0020261B"/>
    <w:rsid w:val="00202B0F"/>
    <w:rsid w:val="002040C3"/>
    <w:rsid w:val="002124E8"/>
    <w:rsid w:val="00215480"/>
    <w:rsid w:val="002154BE"/>
    <w:rsid w:val="00241A46"/>
    <w:rsid w:val="00266A6A"/>
    <w:rsid w:val="0027136E"/>
    <w:rsid w:val="00284C64"/>
    <w:rsid w:val="00285E4D"/>
    <w:rsid w:val="002904C4"/>
    <w:rsid w:val="00293511"/>
    <w:rsid w:val="002A270D"/>
    <w:rsid w:val="002D7424"/>
    <w:rsid w:val="002E21A7"/>
    <w:rsid w:val="002E3983"/>
    <w:rsid w:val="002E6569"/>
    <w:rsid w:val="002F2B14"/>
    <w:rsid w:val="0031104D"/>
    <w:rsid w:val="003173C3"/>
    <w:rsid w:val="00325376"/>
    <w:rsid w:val="00332C40"/>
    <w:rsid w:val="00341964"/>
    <w:rsid w:val="00347B31"/>
    <w:rsid w:val="00364EAA"/>
    <w:rsid w:val="00367D6E"/>
    <w:rsid w:val="003717BE"/>
    <w:rsid w:val="00373EE1"/>
    <w:rsid w:val="00374454"/>
    <w:rsid w:val="00383AFD"/>
    <w:rsid w:val="003A71E0"/>
    <w:rsid w:val="003B5F25"/>
    <w:rsid w:val="003D4F21"/>
    <w:rsid w:val="003E04F4"/>
    <w:rsid w:val="003E30D8"/>
    <w:rsid w:val="003F7272"/>
    <w:rsid w:val="00446726"/>
    <w:rsid w:val="0045550A"/>
    <w:rsid w:val="00482377"/>
    <w:rsid w:val="004834FD"/>
    <w:rsid w:val="004B6EB6"/>
    <w:rsid w:val="004B717E"/>
    <w:rsid w:val="004C3C0E"/>
    <w:rsid w:val="004D4626"/>
    <w:rsid w:val="004E6284"/>
    <w:rsid w:val="0050561D"/>
    <w:rsid w:val="00506F9F"/>
    <w:rsid w:val="00511F57"/>
    <w:rsid w:val="00514288"/>
    <w:rsid w:val="00525582"/>
    <w:rsid w:val="00525F33"/>
    <w:rsid w:val="00530CEE"/>
    <w:rsid w:val="005315E8"/>
    <w:rsid w:val="00532DF1"/>
    <w:rsid w:val="005411BB"/>
    <w:rsid w:val="0054210C"/>
    <w:rsid w:val="00572B76"/>
    <w:rsid w:val="005767C3"/>
    <w:rsid w:val="0058426A"/>
    <w:rsid w:val="005935CC"/>
    <w:rsid w:val="005943B1"/>
    <w:rsid w:val="00595910"/>
    <w:rsid w:val="005B3600"/>
    <w:rsid w:val="005C493C"/>
    <w:rsid w:val="005C4F02"/>
    <w:rsid w:val="005D3605"/>
    <w:rsid w:val="005E746B"/>
    <w:rsid w:val="0060064E"/>
    <w:rsid w:val="00612338"/>
    <w:rsid w:val="00612396"/>
    <w:rsid w:val="006155FB"/>
    <w:rsid w:val="00616B23"/>
    <w:rsid w:val="006221B2"/>
    <w:rsid w:val="00626160"/>
    <w:rsid w:val="00627902"/>
    <w:rsid w:val="0063490F"/>
    <w:rsid w:val="006472CE"/>
    <w:rsid w:val="006704D5"/>
    <w:rsid w:val="00677B44"/>
    <w:rsid w:val="0068202A"/>
    <w:rsid w:val="0068642A"/>
    <w:rsid w:val="006A3B37"/>
    <w:rsid w:val="006C04A0"/>
    <w:rsid w:val="006E4C93"/>
    <w:rsid w:val="006F5D1E"/>
    <w:rsid w:val="007022CF"/>
    <w:rsid w:val="00716D41"/>
    <w:rsid w:val="007504B2"/>
    <w:rsid w:val="00752F1E"/>
    <w:rsid w:val="00781FC6"/>
    <w:rsid w:val="007C341D"/>
    <w:rsid w:val="007C5FAA"/>
    <w:rsid w:val="007D3E5C"/>
    <w:rsid w:val="0080383A"/>
    <w:rsid w:val="008057CA"/>
    <w:rsid w:val="00813652"/>
    <w:rsid w:val="00814F20"/>
    <w:rsid w:val="00825D0E"/>
    <w:rsid w:val="00833AC3"/>
    <w:rsid w:val="008365D6"/>
    <w:rsid w:val="008440FB"/>
    <w:rsid w:val="0084455F"/>
    <w:rsid w:val="00857664"/>
    <w:rsid w:val="00887E5B"/>
    <w:rsid w:val="008968C2"/>
    <w:rsid w:val="008A1523"/>
    <w:rsid w:val="008B14A6"/>
    <w:rsid w:val="008C5F4F"/>
    <w:rsid w:val="008D24BF"/>
    <w:rsid w:val="008E1CB8"/>
    <w:rsid w:val="00906436"/>
    <w:rsid w:val="0091314F"/>
    <w:rsid w:val="00936769"/>
    <w:rsid w:val="00957C8F"/>
    <w:rsid w:val="00974A93"/>
    <w:rsid w:val="009911E2"/>
    <w:rsid w:val="00994C11"/>
    <w:rsid w:val="00996D12"/>
    <w:rsid w:val="009970AE"/>
    <w:rsid w:val="009A0D11"/>
    <w:rsid w:val="009C4944"/>
    <w:rsid w:val="009D234D"/>
    <w:rsid w:val="009F58C7"/>
    <w:rsid w:val="00A02C4A"/>
    <w:rsid w:val="00A07C4A"/>
    <w:rsid w:val="00A1546F"/>
    <w:rsid w:val="00A21149"/>
    <w:rsid w:val="00A25FE5"/>
    <w:rsid w:val="00A33A37"/>
    <w:rsid w:val="00A40AE7"/>
    <w:rsid w:val="00A5222C"/>
    <w:rsid w:val="00A642A3"/>
    <w:rsid w:val="00A93FA1"/>
    <w:rsid w:val="00AA05DE"/>
    <w:rsid w:val="00AA574B"/>
    <w:rsid w:val="00AC780C"/>
    <w:rsid w:val="00AD24B4"/>
    <w:rsid w:val="00AE053E"/>
    <w:rsid w:val="00AF3EA1"/>
    <w:rsid w:val="00AF63B6"/>
    <w:rsid w:val="00AF65B9"/>
    <w:rsid w:val="00B033B1"/>
    <w:rsid w:val="00B06B6E"/>
    <w:rsid w:val="00B2311C"/>
    <w:rsid w:val="00B35240"/>
    <w:rsid w:val="00B35722"/>
    <w:rsid w:val="00B364C6"/>
    <w:rsid w:val="00B370C1"/>
    <w:rsid w:val="00B47ECF"/>
    <w:rsid w:val="00B565C8"/>
    <w:rsid w:val="00B8198A"/>
    <w:rsid w:val="00B84E0A"/>
    <w:rsid w:val="00BA4847"/>
    <w:rsid w:val="00BB4256"/>
    <w:rsid w:val="00BC13C9"/>
    <w:rsid w:val="00BC36AC"/>
    <w:rsid w:val="00C12B47"/>
    <w:rsid w:val="00C203FC"/>
    <w:rsid w:val="00C330E4"/>
    <w:rsid w:val="00C57390"/>
    <w:rsid w:val="00C6693B"/>
    <w:rsid w:val="00C677B5"/>
    <w:rsid w:val="00C81858"/>
    <w:rsid w:val="00CA7101"/>
    <w:rsid w:val="00CC023B"/>
    <w:rsid w:val="00CD66E8"/>
    <w:rsid w:val="00CF49B8"/>
    <w:rsid w:val="00D01E2C"/>
    <w:rsid w:val="00D10939"/>
    <w:rsid w:val="00D135B9"/>
    <w:rsid w:val="00D16797"/>
    <w:rsid w:val="00D22B16"/>
    <w:rsid w:val="00D24F1D"/>
    <w:rsid w:val="00D3064B"/>
    <w:rsid w:val="00D50F64"/>
    <w:rsid w:val="00D542D4"/>
    <w:rsid w:val="00D54389"/>
    <w:rsid w:val="00D60E71"/>
    <w:rsid w:val="00D627C6"/>
    <w:rsid w:val="00D638EA"/>
    <w:rsid w:val="00D6633E"/>
    <w:rsid w:val="00D73AA8"/>
    <w:rsid w:val="00D74FA8"/>
    <w:rsid w:val="00D76674"/>
    <w:rsid w:val="00D804DB"/>
    <w:rsid w:val="00D91D26"/>
    <w:rsid w:val="00D94D56"/>
    <w:rsid w:val="00DA3B87"/>
    <w:rsid w:val="00DA6346"/>
    <w:rsid w:val="00DB10B9"/>
    <w:rsid w:val="00DC004F"/>
    <w:rsid w:val="00DC07E1"/>
    <w:rsid w:val="00DC4524"/>
    <w:rsid w:val="00DC7C86"/>
    <w:rsid w:val="00DD637E"/>
    <w:rsid w:val="00DE2718"/>
    <w:rsid w:val="00DE292C"/>
    <w:rsid w:val="00DF15DD"/>
    <w:rsid w:val="00DF591F"/>
    <w:rsid w:val="00E0764D"/>
    <w:rsid w:val="00E13326"/>
    <w:rsid w:val="00E13684"/>
    <w:rsid w:val="00E305F2"/>
    <w:rsid w:val="00E4177F"/>
    <w:rsid w:val="00E51F29"/>
    <w:rsid w:val="00E54810"/>
    <w:rsid w:val="00E54891"/>
    <w:rsid w:val="00E55045"/>
    <w:rsid w:val="00E67785"/>
    <w:rsid w:val="00EA5F9E"/>
    <w:rsid w:val="00EB3719"/>
    <w:rsid w:val="00EB3733"/>
    <w:rsid w:val="00EB573A"/>
    <w:rsid w:val="00EC2457"/>
    <w:rsid w:val="00EE118A"/>
    <w:rsid w:val="00EE2FD8"/>
    <w:rsid w:val="00EF095B"/>
    <w:rsid w:val="00EF46C4"/>
    <w:rsid w:val="00EF5805"/>
    <w:rsid w:val="00F04996"/>
    <w:rsid w:val="00F11BF5"/>
    <w:rsid w:val="00F30058"/>
    <w:rsid w:val="00F33E57"/>
    <w:rsid w:val="00F42BFD"/>
    <w:rsid w:val="00F601F7"/>
    <w:rsid w:val="00F74DBE"/>
    <w:rsid w:val="00F91530"/>
    <w:rsid w:val="00F96831"/>
    <w:rsid w:val="00FB22E3"/>
    <w:rsid w:val="00FC39BD"/>
    <w:rsid w:val="00FE18A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B2B-2D66-40C5-A0A0-D98679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a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af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af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fffe">
    <w:name w:val="Balloon Text"/>
    <w:basedOn w:val="a"/>
    <w:link w:val="affff"/>
    <w:uiPriority w:val="99"/>
    <w:semiHidden/>
    <w:unhideWhenUsed/>
    <w:rsid w:val="002154BE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ffff0">
    <w:name w:val="Normal (Web)"/>
    <w:basedOn w:val="a"/>
    <w:uiPriority w:val="99"/>
    <w:semiHidden/>
    <w:unhideWhenUsed/>
    <w:rsid w:val="00B56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39"/>
    <w:rsid w:val="00B5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8C5F4F"/>
  </w:style>
  <w:style w:type="paragraph" w:styleId="affff4">
    <w:name w:val="footer"/>
    <w:basedOn w:val="a"/>
    <w:link w:val="affff5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8C5F4F"/>
  </w:style>
  <w:style w:type="character" w:styleId="affff6">
    <w:name w:val="Hyperlink"/>
    <w:basedOn w:val="a0"/>
    <w:uiPriority w:val="99"/>
    <w:unhideWhenUsed/>
    <w:rsid w:val="00D8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os-mo.ru/napravleniya/finansy/otkrytyy-byudzhet/ispolnenie-byudzheta/otchetnost-ob-ispolnenii-byudzhet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5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752186588921331E-2"/>
          <c:y val="3.8095238095238099E-2"/>
          <c:w val="0.72011661807580174"/>
          <c:h val="0.833333333333333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356538765987547E-2"/>
                  <c:y val="2.9090790895720077E-4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912-4AC3-A6CB-33DCEC75C0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8938466025080585E-3"/>
                  <c:y val="2.0339313255946016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6277548639753363E-2"/>
                  <c:y val="-8.5338403906941966E-3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/>
                      <a:t>3 701,9</a:t>
                    </a: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Sheet1!$B$2:$E$2</c:f>
              <c:numCache>
                <c:formatCode>#,##0.0</c:formatCode>
                <c:ptCount val="4"/>
                <c:pt idx="0">
                  <c:v>2942.2</c:v>
                </c:pt>
                <c:pt idx="1">
                  <c:v>3323.9</c:v>
                </c:pt>
                <c:pt idx="2">
                  <c:v>3701.9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DC-49B8-92B1-0F708E850D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5114943965337629E-2"/>
                  <c:y val="-9.057661606732148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912-4AC3-A6CB-33DCEC75C03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260634087405739E-2"/>
                  <c:y val="-7.0528103491707503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880514935633047E-2"/>
                  <c:y val="7.3752793284740339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2235870516185476"/>
                      <c:h val="7.974777146664716E-2"/>
                    </c:manualLayout>
                  </c15:layout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Sheet1!$B$3:$E$3</c:f>
              <c:numCache>
                <c:formatCode>#,##0.0</c:formatCode>
                <c:ptCount val="4"/>
                <c:pt idx="0">
                  <c:v>2951.3</c:v>
                </c:pt>
                <c:pt idx="1">
                  <c:v>3103.6</c:v>
                </c:pt>
                <c:pt idx="2">
                  <c:v>3771.2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DC-49B8-92B1-0F708E850D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 /    Профицит(+)</c:v>
                </c:pt>
              </c:strCache>
            </c:strRef>
          </c:tx>
          <c:spPr>
            <a:solidFill>
              <a:srgbClr val="FFFFCC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025913427488231E-2"/>
                  <c:y val="7.1569846338867087E-3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 sz="1400" baseline="0" dirty="0">
                        <a:latin typeface="Times New Roman" panose="02020603050405020304" pitchFamily="18" charset="0"/>
                      </a:rPr>
                      <a:t>-9,1</a:t>
                    </a:r>
                  </a:p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endParaRPr lang="en-US" sz="1400" baseline="0" dirty="0"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7.4772986709994577E-2"/>
                      <c:h val="6.8470295702201311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6774319876682003E-2"/>
                  <c:y val="0.11529687655022504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0749822938799317"/>
                      <c:h val="7.9509844551164846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5.1622047244094485E-2"/>
                  <c:y val="4.1104707272415691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Calibri"/>
                      </a:defRPr>
                    </a:pPr>
                    <a:r>
                      <a:rPr lang="en-US"/>
                      <a:t>-69,3</a:t>
                    </a:r>
                  </a:p>
                </c:rich>
              </c:tx>
              <c:spPr>
                <a:noFill/>
                <a:ln w="1913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937-488C-8C54-BA6D1A47158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-9.1</c:v>
                </c:pt>
                <c:pt idx="1">
                  <c:v>220.3</c:v>
                </c:pt>
                <c:pt idx="2" formatCode="#,##0.0">
                  <c:v>-69.3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DC-49B8-92B1-0F708E850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372176"/>
        <c:axId val="317372568"/>
        <c:axId val="0"/>
      </c:bar3DChart>
      <c:catAx>
        <c:axId val="31737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317372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372568"/>
        <c:scaling>
          <c:orientation val="minMax"/>
          <c:max val="8000"/>
          <c:min val="-1000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317372176"/>
        <c:crosses val="autoZero"/>
        <c:crossBetween val="between"/>
        <c:majorUnit val="1000"/>
        <c:minorUnit val="200"/>
      </c:valAx>
      <c:spPr>
        <a:noFill/>
        <a:ln w="19138">
          <a:noFill/>
        </a:ln>
      </c:spPr>
    </c:plotArea>
    <c:legend>
      <c:legendPos val="r"/>
      <c:layout>
        <c:manualLayout>
          <c:xMode val="edge"/>
          <c:yMode val="edge"/>
          <c:x val="0.76052881912188486"/>
          <c:y val="7.5180529127488988E-2"/>
          <c:w val="0.23531593736729575"/>
          <c:h val="0.7336122544843674"/>
        </c:manualLayout>
      </c:layout>
      <c:overlay val="0"/>
      <c:spPr>
        <a:noFill/>
        <a:ln w="19028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1483447709708556E-2"/>
          <c:w val="0.67548795119745442"/>
          <c:h val="0.8668106435055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DF5327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418AB3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D7D447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FF0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  <c:spPr>
              <a:solidFill>
                <a:srgbClr val="7030A0"/>
              </a:solidFill>
            </c:spPr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0.19162905614451825"/>
                  <c:y val="-4.4682648869634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402101622801869"/>
                  <c:y val="-0.13959046023554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723442270646374E-2"/>
                  <c:y val="-1.2749244276421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1231680533595617"/>
                  <c:y val="-4.9445275153570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8310181058110793E-2"/>
                  <c:y val="7.41445167807448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НДФЛ</c:v>
                </c:pt>
                <c:pt idx="1">
                  <c:v>Безвозмездные поступления</c:v>
                </c:pt>
                <c:pt idx="2">
                  <c:v>Штрафы, санкции, возмещение ущерба</c:v>
                </c:pt>
                <c:pt idx="3">
                  <c:v>Доходы от продажи  активов</c:v>
                </c:pt>
                <c:pt idx="4">
                  <c:v>Налоги на имущество</c:v>
                </c:pt>
                <c:pt idx="5">
                  <c:v>Акцизы</c:v>
                </c:pt>
                <c:pt idx="6">
                  <c:v>Платежи при пользовании природными ресурсами</c:v>
                </c:pt>
                <c:pt idx="7">
                  <c:v>Государственная пошлина</c:v>
                </c:pt>
                <c:pt idx="8">
                  <c:v>Доходы от использования иущества</c:v>
                </c:pt>
                <c:pt idx="9">
                  <c:v>Доходы от оказания платных услуг (работ) и компенсации затрат государства</c:v>
                </c:pt>
                <c:pt idx="10">
                  <c:v>Налоги на совокупный доход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1295.4000000000001</c:v>
                </c:pt>
                <c:pt idx="1">
                  <c:v>1893.9</c:v>
                </c:pt>
                <c:pt idx="2">
                  <c:v>33.799999999999997</c:v>
                </c:pt>
                <c:pt idx="3">
                  <c:v>38.5</c:v>
                </c:pt>
                <c:pt idx="4">
                  <c:v>74.2</c:v>
                </c:pt>
                <c:pt idx="5">
                  <c:v>39.799999999999997</c:v>
                </c:pt>
                <c:pt idx="6">
                  <c:v>12.1</c:v>
                </c:pt>
                <c:pt idx="7">
                  <c:v>12.2</c:v>
                </c:pt>
                <c:pt idx="8">
                  <c:v>95.3</c:v>
                </c:pt>
                <c:pt idx="9">
                  <c:v>7.3</c:v>
                </c:pt>
                <c:pt idx="10">
                  <c:v>199.4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027">
          <a:noFill/>
        </a:ln>
      </c:spPr>
    </c:plotArea>
    <c:legend>
      <c:legendPos val="r"/>
      <c:layout>
        <c:manualLayout>
          <c:xMode val="edge"/>
          <c:yMode val="edge"/>
          <c:x val="0.66321265707708321"/>
          <c:y val="5.7106616319800192E-3"/>
          <c:w val="0.31866027019865351"/>
          <c:h val="0.99347598278839699"/>
        </c:manualLayout>
      </c:layout>
      <c:overlay val="0"/>
      <c:spPr>
        <a:noFill/>
        <a:ln w="2181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Базис">
    <a:dk1>
      <a:srgbClr val="000000"/>
    </a:dk1>
    <a:lt1>
      <a:srgbClr val="FFFFFF"/>
    </a:lt1>
    <a:dk2>
      <a:srgbClr val="565349"/>
    </a:dk2>
    <a:lt2>
      <a:srgbClr val="DDDDDD"/>
    </a:lt2>
    <a:accent1>
      <a:srgbClr val="A6B727"/>
    </a:accent1>
    <a:accent2>
      <a:srgbClr val="DF5327"/>
    </a:accent2>
    <a:accent3>
      <a:srgbClr val="FE9E00"/>
    </a:accent3>
    <a:accent4>
      <a:srgbClr val="418AB3"/>
    </a:accent4>
    <a:accent5>
      <a:srgbClr val="D7D447"/>
    </a:accent5>
    <a:accent6>
      <a:srgbClr val="818183"/>
    </a:accent6>
    <a:hlink>
      <a:srgbClr val="F59E00"/>
    </a:hlink>
    <a:folHlink>
      <a:srgbClr val="B2B2B2"/>
    </a:folHlink>
  </a:clrScheme>
  <a:fontScheme name="Базис">
    <a:majorFont>
      <a:latin typeface="Corbe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orbe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Базис">
    <a:fillStyleLst>
      <a:solidFill>
        <a:schemeClr val="phClr"/>
      </a:solidFill>
      <a:solidFill>
        <a:schemeClr val="phClr">
          <a:tint val="55000"/>
          <a:satMod val="13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  <a:satMod val="105000"/>
            </a:schemeClr>
          </a:gs>
          <a:gs pos="100000">
            <a:schemeClr val="phClr">
              <a:shade val="80000"/>
              <a:satMod val="120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27000"/>
              <a:satMod val="12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hade val="95000"/>
          <a:satMod val="140000"/>
        </a:schemeClr>
      </a:solidFill>
      <a:solidFill>
        <a:schemeClr val="phClr">
          <a:tint val="90000"/>
          <a:shade val="85000"/>
          <a:satMod val="160000"/>
          <a:lumMod val="110000"/>
        </a:schemeClr>
      </a:soli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1274-13B5-464B-8593-1E2574A7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Bondareva</dc:creator>
  <cp:lastModifiedBy>Бурова Кристина Вячеславовна</cp:lastModifiedBy>
  <cp:revision>96</cp:revision>
  <cp:lastPrinted>2023-07-20T11:58:00Z</cp:lastPrinted>
  <dcterms:created xsi:type="dcterms:W3CDTF">2023-07-19T09:20:00Z</dcterms:created>
  <dcterms:modified xsi:type="dcterms:W3CDTF">2023-07-21T09:17:00Z</dcterms:modified>
</cp:coreProperties>
</file>