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17" w:rsidRPr="00350C17" w:rsidRDefault="00350C17" w:rsidP="00350C17">
      <w:pPr>
        <w:spacing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ru-RU"/>
        </w:rPr>
      </w:pPr>
      <w:bookmarkStart w:id="0" w:name="_GoBack"/>
      <w:bookmarkEnd w:id="0"/>
      <w:r w:rsidRPr="00350C17"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ru-RU"/>
        </w:rPr>
        <w:t>Антикоррупционные практики обсудили в Евразийском формате</w:t>
      </w:r>
    </w:p>
    <w:p w:rsidR="00350C17" w:rsidRPr="00350C17" w:rsidRDefault="00350C17" w:rsidP="00350C17">
      <w:pPr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Москве прошел ХII Евразийский антикоррупционный форум «Противодействие коррупции: диалектика научного знания». Он был приурочен к 100-летию Института законодательства и сравнительного правоведения при Правительстве РФ.</w:t>
      </w:r>
    </w:p>
    <w:p w:rsidR="00350C17" w:rsidRPr="00350C17" w:rsidRDefault="00350C17" w:rsidP="00350C17">
      <w:pPr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Работа антикоррупционного форума проходила в режиме секционных заседаний и круглых столов по темам:</w:t>
      </w:r>
    </w:p>
    <w:p w:rsidR="00350C17" w:rsidRPr="00350C17" w:rsidRDefault="00350C17" w:rsidP="00350C17">
      <w:pPr>
        <w:numPr>
          <w:ilvl w:val="0"/>
          <w:numId w:val="1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«Противодействие коррупции как кросс-отраслевой феномен современной науки и законодательства»;</w:t>
      </w:r>
    </w:p>
    <w:p w:rsidR="00350C17" w:rsidRPr="00350C17" w:rsidRDefault="00350C17" w:rsidP="00350C17">
      <w:pPr>
        <w:numPr>
          <w:ilvl w:val="0"/>
          <w:numId w:val="2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«Доктрина международного права и противодействие коррупции в свете новых вызовов (к 20-летию Конвенции Организации Объединенных Наций против коррупции 2003 г.)»;</w:t>
      </w:r>
    </w:p>
    <w:p w:rsidR="00350C17" w:rsidRPr="00350C17" w:rsidRDefault="00350C17" w:rsidP="00350C17">
      <w:pPr>
        <w:numPr>
          <w:ilvl w:val="0"/>
          <w:numId w:val="3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«Конституционно-правовая доктрина и формирование методологии противодействия коррупции»;</w:t>
      </w:r>
    </w:p>
    <w:p w:rsidR="00350C17" w:rsidRPr="00350C17" w:rsidRDefault="00350C17" w:rsidP="00350C17">
      <w:pPr>
        <w:numPr>
          <w:ilvl w:val="0"/>
          <w:numId w:val="4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«Риск и интерес: диалектика отраслевого познания права в контексте противодействия коррупции»;</w:t>
      </w:r>
    </w:p>
    <w:p w:rsidR="00350C17" w:rsidRPr="00350C17" w:rsidRDefault="00350C17" w:rsidP="00350C17">
      <w:pPr>
        <w:numPr>
          <w:ilvl w:val="0"/>
          <w:numId w:val="5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««Противодействие коррупции в социально-культурной сфере в эпоху </w:t>
      </w:r>
      <w:proofErr w:type="spellStart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цифровизации</w:t>
      </w:r>
      <w:proofErr w:type="spellEnd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»;</w:t>
      </w:r>
    </w:p>
    <w:p w:rsidR="00350C17" w:rsidRPr="00350C17" w:rsidRDefault="00350C17" w:rsidP="00350C17">
      <w:pPr>
        <w:numPr>
          <w:ilvl w:val="0"/>
          <w:numId w:val="6"/>
        </w:numPr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«Противодействие коррупции: лучшие практики субъектов Российской Федерации».</w:t>
      </w:r>
    </w:p>
    <w:p w:rsidR="00350C17" w:rsidRPr="00350C17" w:rsidRDefault="00350C17" w:rsidP="00350C17">
      <w:pPr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Эксперты оценили практику увольнений в связи с утратой доверия. Оказалось, что чаще всего с этой формулировкой увольняют муниципальных депутатов — более 54 %. При этом почти три четверти утративших доверие (71,57%) — мужчины. Такие данные привели ученые Института законодательства и сравнительного правоведения при Правительстве РФ.</w:t>
      </w:r>
    </w:p>
    <w:p w:rsidR="00350C17" w:rsidRPr="00350C17" w:rsidRDefault="00350C17" w:rsidP="00350C17">
      <w:pPr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Между тем, министерство юстиции РФ провело в 2022 году антикоррупционную экспертизу более 180 тыс. региональных правовых актов и почти 2 тыс. уставов муниципальных образований (и изменяющих их </w:t>
      </w:r>
      <w:proofErr w:type="spellStart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муниципально</w:t>
      </w:r>
      <w:proofErr w:type="spellEnd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-правовых актов).</w:t>
      </w:r>
    </w:p>
    <w:p w:rsidR="00350C17" w:rsidRPr="00350C17" w:rsidRDefault="00350C17" w:rsidP="00350C17">
      <w:pPr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Заместитель министра труда Андрей Пудов (именно это ведомство отвечает за разработку антикоррупционных стандартов) представил участникам форума обновленный обзор практики привлечения к ответственности проштрафившихся чиновников. В документе уточняется, что следует считать серьезным нарушением, а что малозначительным и ненаказуемым — как, например, отсутствие в декларации сведений о ветхом частном доме, расположенном в среднестатистическом садовом товариществе, или подарке на сумму до 10 тыс. руб.</w:t>
      </w:r>
    </w:p>
    <w:p w:rsidR="00350C17" w:rsidRPr="00350C17" w:rsidRDefault="00350C17" w:rsidP="00350C1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Также Минтруд разъясняет, что привлечение служащим в ходе проверки адвоката или юриста не может служить подтверждением самого нарушения. А вот наличие пая в инвестиционном фонде, который привлекает иностранные финансовые инструменты, таковым является. Однако за это не нужно увольнять, предупреждает Минтруд, если чиновник вовремя осознал проступок и избавился от доли в таком фонде. Также заместитель министра сообщил, что его ведомство готовит методические рекомендации о том, как декларировать цифровые активы (отчитываться о наличии </w:t>
      </w:r>
      <w:proofErr w:type="spellStart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криптовалюты</w:t>
      </w:r>
      <w:proofErr w:type="spellEnd"/>
      <w:r w:rsidRPr="00350C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чиновники должны с 2021 года).</w:t>
      </w:r>
    </w:p>
    <w:p w:rsidR="001A6587" w:rsidRPr="00350C17" w:rsidRDefault="001A6587">
      <w:pPr>
        <w:rPr>
          <w:rFonts w:ascii="Times New Roman" w:hAnsi="Times New Roman" w:cs="Times New Roman"/>
          <w:sz w:val="24"/>
          <w:szCs w:val="24"/>
        </w:rPr>
      </w:pPr>
    </w:p>
    <w:sectPr w:rsidR="001A6587" w:rsidRPr="00350C17" w:rsidSect="00350C17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5D3"/>
    <w:multiLevelType w:val="multilevel"/>
    <w:tmpl w:val="C71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53F1A"/>
    <w:multiLevelType w:val="multilevel"/>
    <w:tmpl w:val="F07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17D3"/>
    <w:multiLevelType w:val="multilevel"/>
    <w:tmpl w:val="593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F30F1"/>
    <w:multiLevelType w:val="multilevel"/>
    <w:tmpl w:val="A2C0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06CA0"/>
    <w:multiLevelType w:val="multilevel"/>
    <w:tmpl w:val="EB1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E5D00"/>
    <w:multiLevelType w:val="multilevel"/>
    <w:tmpl w:val="45C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7"/>
    <w:rsid w:val="001A6587"/>
    <w:rsid w:val="003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309B-7A8E-4840-B11F-BD67B3D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544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83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Палий Светлана Валериевна</dc:creator>
  <cp:keywords/>
  <dc:description/>
  <cp:lastModifiedBy>Палий Светлана Валериевна</cp:lastModifiedBy>
  <cp:revision>1</cp:revision>
  <dcterms:created xsi:type="dcterms:W3CDTF">2023-05-10T06:02:00Z</dcterms:created>
  <dcterms:modified xsi:type="dcterms:W3CDTF">2023-05-10T06:06:00Z</dcterms:modified>
</cp:coreProperties>
</file>