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1D" w:rsidRDefault="005056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Итоги исполнения</w:t>
      </w:r>
      <w:r w:rsidR="00BC13C9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бюджета городского округа Воскресенск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Московской области</w:t>
      </w:r>
    </w:p>
    <w:p w:rsidR="00B8198A" w:rsidRDefault="00BC1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 202</w:t>
      </w:r>
      <w:r w:rsidR="008440F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B8198A" w:rsidRDefault="00B81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561D" w:rsidRDefault="0050561D" w:rsidP="009911E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депутатов городского округа Воскресенск принял к рассмотрению проект решения</w:t>
      </w:r>
      <w:r w:rsidR="00367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 исполнении бюджета городского округа Воскресенск Московской области за 2022 год»</w:t>
      </w:r>
      <w:r w:rsidR="00D74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</w:t>
      </w:r>
      <w:r w:rsidR="00FF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значил публичные слушания </w:t>
      </w:r>
      <w:r w:rsidR="00D74FA8">
        <w:rPr>
          <w:rFonts w:ascii="Times New Roman" w:eastAsia="Times New Roman" w:hAnsi="Times New Roman" w:cs="Times New Roman"/>
          <w:color w:val="000000"/>
          <w:sz w:val="24"/>
          <w:szCs w:val="24"/>
        </w:rPr>
        <w:t>на 17 апреля 2023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3D4" w:rsidRDefault="001913D4" w:rsidP="00BC36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EB3733" w:rsidRPr="00833AC3" w:rsidRDefault="00AF3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33A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Исполнение бюджета за 2020</w:t>
      </w:r>
      <w:r w:rsidR="00BC13C9" w:rsidRPr="00833A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-202</w:t>
      </w:r>
      <w:r w:rsidRPr="00833A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2 </w:t>
      </w:r>
      <w:r w:rsidR="00BC13C9" w:rsidRPr="00833A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годы, млн. рублей</w:t>
      </w:r>
    </w:p>
    <w:p w:rsidR="00857664" w:rsidRDefault="008576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857664" w:rsidRDefault="00266A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266A6A"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drawing>
          <wp:inline distT="0" distB="0" distL="0" distR="0" wp14:anchorId="03838EB3" wp14:editId="2BCDC389">
            <wp:extent cx="6000750" cy="27717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C36AC" w:rsidRDefault="00BC36AC" w:rsidP="00BC36AC">
      <w:pPr>
        <w:shd w:val="clear" w:color="auto" w:fill="FFFFFF"/>
        <w:suppressAutoHyphens/>
        <w:spacing w:after="0" w:line="240" w:lineRule="auto"/>
        <w:ind w:left="10" w:right="43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36AC" w:rsidRDefault="00BC36AC" w:rsidP="00BC36AC">
      <w:pPr>
        <w:shd w:val="clear" w:color="auto" w:fill="FFFFFF"/>
        <w:suppressAutoHyphens/>
        <w:spacing w:after="0" w:line="240" w:lineRule="auto"/>
        <w:ind w:left="10" w:right="43" w:firstLine="5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Доходы бюджета по итогам 2022 года составили 7 221,7 млн. рублей с ростом к 2021 году на 18,9 %. Расходы исполнены в объеме 6 890,1 млн. рублей с приростом к уровню 2021 года на 9,6 %. </w:t>
      </w:r>
    </w:p>
    <w:p w:rsidR="00367D6E" w:rsidRDefault="00BC36AC" w:rsidP="00BC36AC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367D6E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 округа исполнен с профицитом в сумме 331,6 миллиона рублей.</w:t>
      </w:r>
    </w:p>
    <w:p w:rsidR="008A1523" w:rsidRDefault="008A1523" w:rsidP="00BC36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84C64" w:rsidRPr="00BC36AC" w:rsidRDefault="00BC13C9" w:rsidP="00BC36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330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Исполнение бюджета городского округа Воскресенск по доходам в разрезе собственных доходов и </w:t>
      </w:r>
      <w:r w:rsidR="00D638EA" w:rsidRPr="00C330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безвозмездных поступлений за 2020</w:t>
      </w:r>
      <w:r w:rsidRPr="00C330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-202</w:t>
      </w:r>
      <w:r w:rsidR="00D638EA" w:rsidRPr="00C330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</w:t>
      </w:r>
      <w:r w:rsidR="00BC36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BC36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г.г</w:t>
      </w:r>
      <w:proofErr w:type="spellEnd"/>
      <w:r w:rsidR="00BC36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 млн. рубле</w:t>
      </w:r>
      <w:r w:rsidR="00BC36AC" w:rsidRPr="00BC36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й</w:t>
      </w:r>
    </w:p>
    <w:p w:rsidR="00284C64" w:rsidRDefault="00284C64" w:rsidP="0031104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4C64" w:rsidRDefault="00C330E4" w:rsidP="0031104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523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6BD934A8" wp14:editId="06C60D44">
            <wp:extent cx="6057900" cy="30861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C36AC" w:rsidRDefault="00BC36AC" w:rsidP="00BC36AC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36AC" w:rsidRDefault="00BC36AC" w:rsidP="00BC36AC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Поступления собственных доходов в бюджет городского округа составили 4 039,5 млн. рублей с ростом к аналогичному периоду прошлого года на 672,6 млн. рублей или плюс 19,9 %, и на 663,6 млн. рублей больше, чем в 2020 году.</w:t>
      </w:r>
    </w:p>
    <w:p w:rsidR="00BC36AC" w:rsidRDefault="00BC36AC" w:rsidP="00BC36AC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Наибольший объем средств получен по налогу на доходы физических лиц 2 955,4 млн. рублей или 40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,9 % от всех доходов бюджета. Темп роста поступлений по НДФЛ +25,5 % к уровню 2021 года, к 2020 году + 18,1%. Поступления налога на имущество физических лиц и земельного налога составили 362,2 млн. рублей, что на 14,1 млн. рублей меньше, чем в 2021 году.</w:t>
      </w:r>
    </w:p>
    <w:p w:rsidR="00BC36AC" w:rsidRDefault="00BC36AC" w:rsidP="00BC36AC">
      <w:pPr>
        <w:shd w:val="clear" w:color="auto" w:fill="FFFFFF"/>
        <w:suppressAutoHyphens/>
        <w:spacing w:after="0" w:line="240" w:lineRule="auto"/>
        <w:ind w:left="19" w:right="14" w:firstLine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Безвозмездные поступления из бюджета Московской области в бюджет округа в 2022 году составили 3 182,2 млн. рублей, что на 475 млн. рублей выше аналогичного периода прошлого года. </w:t>
      </w:r>
      <w:r w:rsidRPr="00C20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Увеличение безвозмездных поступлений в отчетном году  произошло за счет субсидий: на </w:t>
      </w:r>
      <w:r w:rsidRPr="00C203FC"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по модернизации школьных систем образования,</w:t>
      </w:r>
      <w:r w:rsidRPr="00AC780C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AC780C">
        <w:rPr>
          <w:rFonts w:ascii="Times New Roman" w:eastAsia="Times New Roman" w:hAnsi="Times New Roman" w:cs="Times New Roman"/>
          <w:sz w:val="24"/>
          <w:szCs w:val="24"/>
        </w:rPr>
        <w:t xml:space="preserve"> работ по капитальному ремонту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оснащению отремонтированных зданий </w:t>
      </w:r>
      <w:r w:rsidRPr="00A1546F">
        <w:rPr>
          <w:rFonts w:ascii="Times New Roman" w:eastAsia="Times New Roman" w:hAnsi="Times New Roman" w:cs="Times New Roman"/>
          <w:sz w:val="24"/>
          <w:szCs w:val="24"/>
        </w:rPr>
        <w:t>общеобразовательных организаций</w:t>
      </w:r>
      <w:r w:rsidRPr="00AC7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224,9 млн. рублей,</w:t>
      </w:r>
      <w:r w:rsidRPr="00AC7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780C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софинансиро</w:t>
      </w:r>
      <w:r w:rsidRPr="00AC780C">
        <w:rPr>
          <w:rFonts w:ascii="Times New Roman" w:eastAsia="Times New Roman" w:hAnsi="Times New Roman" w:cs="Times New Roman"/>
          <w:sz w:val="24"/>
          <w:szCs w:val="24"/>
        </w:rPr>
        <w:t>вание работ по капитальному ремонту и ремонту автомобильных дорог общего пользования местного значени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в сумме 135,4 млн. рублей,  на  реализацию программ формирования современной </w:t>
      </w:r>
      <w:r w:rsidRPr="00AC780C">
        <w:rPr>
          <w:rFonts w:ascii="Times New Roman" w:eastAsia="Times New Roman" w:hAnsi="Times New Roman" w:cs="Times New Roman"/>
          <w:sz w:val="24"/>
          <w:szCs w:val="24"/>
        </w:rPr>
        <w:t xml:space="preserve">городской среды в части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благоустройства общественных </w:t>
      </w:r>
      <w:r w:rsidRPr="00AC780C">
        <w:rPr>
          <w:rFonts w:ascii="Times New Roman" w:eastAsia="Times New Roman" w:hAnsi="Times New Roman" w:cs="Times New Roman"/>
          <w:sz w:val="24"/>
          <w:szCs w:val="24"/>
        </w:rPr>
        <w:t>территорий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1546F">
        <w:rPr>
          <w:rFonts w:ascii="Times New Roman" w:eastAsia="Times New Roman" w:hAnsi="Times New Roman" w:cs="Times New Roman"/>
          <w:sz w:val="24"/>
          <w:szCs w:val="24"/>
        </w:rPr>
        <w:t>скверы  и зоны для</w:t>
      </w:r>
      <w:r w:rsidRPr="00C203FC">
        <w:rPr>
          <w:rFonts w:ascii="Times New Roman" w:eastAsia="Times New Roman" w:hAnsi="Times New Roman" w:cs="Times New Roman"/>
          <w:sz w:val="24"/>
          <w:szCs w:val="24"/>
        </w:rPr>
        <w:t xml:space="preserve"> досуга и отдыха населения в парках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20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сумме 141,0 млн. рублей,  на материально-техническое обеспечение объектов физической </w:t>
      </w:r>
      <w:r w:rsidRPr="00C20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культуры 40,5 млн. рублей, обеспечение жильем детей сирот 64,3 млн. рублей</w:t>
      </w:r>
      <w:r w:rsidRPr="00DC07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5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улучшение жилищных условий многодетных семей 15,3 млн. рублей, </w:t>
      </w:r>
      <w:r w:rsidRPr="00AC780C">
        <w:rPr>
          <w:rFonts w:ascii="Times New Roman" w:eastAsia="Times New Roman" w:hAnsi="Times New Roman" w:cs="Times New Roman"/>
          <w:sz w:val="24"/>
          <w:szCs w:val="24"/>
        </w:rPr>
        <w:t>на обес</w:t>
      </w:r>
      <w:r>
        <w:rPr>
          <w:rFonts w:ascii="Times New Roman" w:eastAsia="Times New Roman" w:hAnsi="Times New Roman" w:cs="Times New Roman"/>
          <w:sz w:val="24"/>
          <w:szCs w:val="24"/>
        </w:rPr>
        <w:t>печение мероприятий по переселе</w:t>
      </w:r>
      <w:r w:rsidRPr="00AC780C">
        <w:rPr>
          <w:rFonts w:ascii="Times New Roman" w:eastAsia="Times New Roman" w:hAnsi="Times New Roman" w:cs="Times New Roman"/>
          <w:sz w:val="24"/>
          <w:szCs w:val="24"/>
        </w:rPr>
        <w:t xml:space="preserve">нию граждан из аварийного жилищного фонда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  <w:r w:rsidRPr="00AC7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07E1">
        <w:rPr>
          <w:rFonts w:ascii="Times New Roman" w:eastAsia="Times New Roman" w:hAnsi="Times New Roman" w:cs="Times New Roman"/>
          <w:sz w:val="24"/>
          <w:szCs w:val="24"/>
        </w:rPr>
        <w:t>Воскресенск  в сумме 26,3 млн.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07E1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>, на ремонт подъездов 15,5 млн. рублей,</w:t>
      </w:r>
      <w:r w:rsidRPr="00DC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приобретение автобуса</w:t>
      </w:r>
      <w:r w:rsidRPr="00C203FC">
        <w:rPr>
          <w:rFonts w:ascii="Times New Roman" w:eastAsia="Times New Roman" w:hAnsi="Times New Roman" w:cs="Times New Roman"/>
          <w:sz w:val="24"/>
          <w:szCs w:val="24"/>
        </w:rPr>
        <w:t xml:space="preserve"> для доставки о</w:t>
      </w:r>
      <w:r>
        <w:rPr>
          <w:rFonts w:ascii="Times New Roman" w:eastAsia="Times New Roman" w:hAnsi="Times New Roman" w:cs="Times New Roman"/>
          <w:sz w:val="24"/>
          <w:szCs w:val="24"/>
        </w:rPr>
        <w:t>бучающихся в общеобразовательные организации</w:t>
      </w:r>
      <w:r w:rsidRPr="00C203FC">
        <w:rPr>
          <w:rFonts w:ascii="Times New Roman" w:eastAsia="Times New Roman" w:hAnsi="Times New Roman" w:cs="Times New Roman"/>
          <w:sz w:val="24"/>
          <w:szCs w:val="24"/>
        </w:rPr>
        <w:t>, расположенные в сельских населенных пунктах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 млн. рублей</w:t>
      </w:r>
    </w:p>
    <w:p w:rsidR="00BC36AC" w:rsidRPr="00BC36AC" w:rsidRDefault="00BC36AC" w:rsidP="00BC36AC">
      <w:pPr>
        <w:shd w:val="clear" w:color="auto" w:fill="FFFFFF"/>
        <w:suppressAutoHyphens/>
        <w:spacing w:after="0" w:line="240" w:lineRule="auto"/>
        <w:ind w:left="19" w:right="14" w:firstLine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C4A">
        <w:rPr>
          <w:rFonts w:ascii="Times New Roman" w:eastAsia="Times New Roman" w:hAnsi="Times New Roman" w:cs="Times New Roman"/>
          <w:sz w:val="24"/>
          <w:szCs w:val="24"/>
        </w:rPr>
        <w:t xml:space="preserve">В состав безвозмездных поступлений входят: субвенции - 2 миллиарда 309 миллиона рублей или 72,2 % от общей суммы безвозмездных поступлений; субсидии – 867,9 млн. рублей или 27 % </w:t>
      </w:r>
      <w:r w:rsidRPr="00A02C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 общей суммы безвозмездных поступлений; межбюджетные трансферты 19,2 млн. рублей или 0,6 % от общей суммы безвозмездных поступлений; дотации 0,2 млн. рублей. </w:t>
      </w:r>
    </w:p>
    <w:p w:rsidR="00284C64" w:rsidRDefault="00D16797" w:rsidP="00FF015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2022 году на реализацию 18 муниципальных программ направлено 6 859,6 млн.</w:t>
      </w:r>
      <w:r w:rsidR="00E136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  <w:r w:rsidR="00511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99,6 % от общего объема расходов, по 16 программам уровень исполнения составил более 95 % в 2022 году, в 2021 году соответственно по 12 программам.</w:t>
      </w:r>
    </w:p>
    <w:p w:rsidR="00511F57" w:rsidRDefault="00FF0151" w:rsidP="00FF015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2022 году б</w:t>
      </w:r>
      <w:r w:rsidR="00511F57">
        <w:rPr>
          <w:rFonts w:ascii="Times New Roman" w:eastAsia="Times New Roman" w:hAnsi="Times New Roman" w:cs="Times New Roman"/>
          <w:color w:val="000000"/>
          <w:sz w:val="24"/>
          <w:szCs w:val="24"/>
        </w:rPr>
        <w:t>олее 65 % программных расходов или 4</w:t>
      </w:r>
      <w:r w:rsidR="006006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11F57">
        <w:rPr>
          <w:rFonts w:ascii="Times New Roman" w:eastAsia="Times New Roman" w:hAnsi="Times New Roman" w:cs="Times New Roman"/>
          <w:color w:val="000000"/>
          <w:sz w:val="24"/>
          <w:szCs w:val="24"/>
        </w:rPr>
        <w:t>482</w:t>
      </w:r>
      <w:r w:rsidR="0060064E">
        <w:rPr>
          <w:rFonts w:ascii="Times New Roman" w:eastAsia="Times New Roman" w:hAnsi="Times New Roman" w:cs="Times New Roman"/>
          <w:color w:val="000000"/>
          <w:sz w:val="24"/>
          <w:szCs w:val="24"/>
        </w:rPr>
        <w:t>,3</w:t>
      </w:r>
      <w:r w:rsidR="00511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млн.</w:t>
      </w:r>
      <w:r w:rsidR="00E136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1F57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 направлено на исполнение пяти социальных программ: «Здравоохранение»,</w:t>
      </w:r>
      <w:r w:rsidR="00511F57" w:rsidRPr="00511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1F57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Культура», «Образование»</w:t>
      </w:r>
      <w:r w:rsidR="00511F57" w:rsidRPr="00C677B5">
        <w:rPr>
          <w:rFonts w:ascii="Times New Roman" w:eastAsia="Times New Roman" w:hAnsi="Times New Roman" w:cs="Times New Roman"/>
          <w:color w:val="000000"/>
          <w:sz w:val="24"/>
          <w:szCs w:val="24"/>
        </w:rPr>
        <w:t>, «Социальная защита населения, «Спорт»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 ростом к 2021 году на 446</w:t>
      </w:r>
      <w:r w:rsidR="0060064E">
        <w:rPr>
          <w:rFonts w:ascii="Times New Roman" w:eastAsia="Times New Roman" w:hAnsi="Times New Roman" w:cs="Times New Roman"/>
          <w:color w:val="000000"/>
          <w:sz w:val="24"/>
          <w:szCs w:val="24"/>
        </w:rPr>
        <w:t>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млн.</w:t>
      </w:r>
      <w:r w:rsidR="00E136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рублей.</w:t>
      </w:r>
    </w:p>
    <w:p w:rsidR="00511F57" w:rsidRDefault="00511F57" w:rsidP="00FF0151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right="103"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2022 году на реализацию</w:t>
      </w:r>
      <w:r w:rsidRPr="00D167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FF015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четырех </w:t>
      </w:r>
      <w:r w:rsidRPr="00D167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национальных проектах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направлено</w:t>
      </w:r>
      <w:r w:rsidRPr="00D167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FF015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210</w:t>
      </w:r>
      <w:r w:rsidRPr="00D167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млн. рублей.</w:t>
      </w:r>
    </w:p>
    <w:p w:rsidR="00511F57" w:rsidRPr="00D16797" w:rsidRDefault="00511F57" w:rsidP="00FF0151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right="103"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167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рамках национального проекта «Культура» в 2022 году осуществлена поддержка сельских учреждений культуры – 0,1 млн.</w:t>
      </w:r>
      <w:r w:rsidR="00E1368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167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рублей. </w:t>
      </w:r>
    </w:p>
    <w:p w:rsidR="00511F57" w:rsidRPr="00D16797" w:rsidRDefault="00511F57" w:rsidP="00FF0151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167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рамках национального проекта «Образование» реализованы мероприятия по </w:t>
      </w:r>
      <w:r w:rsidRPr="00D16797">
        <w:rPr>
          <w:rFonts w:ascii="Times New Roman" w:hAnsi="Times New Roman" w:cs="Times New Roman"/>
          <w:sz w:val="24"/>
          <w:szCs w:val="24"/>
        </w:rPr>
        <w:t xml:space="preserve">поставке ноутбуков, </w:t>
      </w:r>
      <w:r w:rsidRPr="00D16797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D16797">
        <w:rPr>
          <w:rFonts w:ascii="Times New Roman" w:hAnsi="Times New Roman" w:cs="Times New Roman"/>
          <w:sz w:val="24"/>
          <w:szCs w:val="24"/>
        </w:rPr>
        <w:t xml:space="preserve">-камер, телевизоров, микрофонов, учебного оборудования и цифровых лабораторий, оказаны услуги по установке, монтажу и настройке </w:t>
      </w:r>
      <w:r w:rsidRPr="00D16797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D16797">
        <w:rPr>
          <w:rFonts w:ascii="Times New Roman" w:hAnsi="Times New Roman" w:cs="Times New Roman"/>
          <w:sz w:val="24"/>
          <w:szCs w:val="24"/>
        </w:rPr>
        <w:t xml:space="preserve">-камер, выполнен текущий ремонт кабинетов для образовательных учреждений и обеспечению деятельности советников директора по воспитанию и взаимодействию с детскими общественными объединениями в муниципальных образовательных организациях </w:t>
      </w:r>
      <w:r w:rsidRPr="00D16797">
        <w:rPr>
          <w:rFonts w:ascii="Times New Roman" w:hAnsi="Times New Roman" w:cs="Times New Roman"/>
          <w:color w:val="000000"/>
          <w:sz w:val="24"/>
          <w:szCs w:val="24"/>
        </w:rPr>
        <w:t>- 21 млн.</w:t>
      </w:r>
      <w:r w:rsidR="00E136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6797">
        <w:rPr>
          <w:rFonts w:ascii="Times New Roman" w:hAnsi="Times New Roman" w:cs="Times New Roman"/>
          <w:color w:val="000000"/>
          <w:sz w:val="24"/>
          <w:szCs w:val="24"/>
        </w:rPr>
        <w:t>рублей.</w:t>
      </w:r>
    </w:p>
    <w:p w:rsidR="00511F57" w:rsidRPr="00D16797" w:rsidRDefault="00511F57" w:rsidP="00511F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7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рамках национального проекта «Жилье и городская среда» реализованы мероприятия: </w:t>
      </w:r>
    </w:p>
    <w:p w:rsidR="00511F57" w:rsidRPr="00D16797" w:rsidRDefault="00511F57" w:rsidP="00511F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797">
        <w:rPr>
          <w:rFonts w:ascii="Times New Roman" w:hAnsi="Times New Roman" w:cs="Times New Roman"/>
          <w:sz w:val="24"/>
          <w:szCs w:val="24"/>
        </w:rPr>
        <w:t>по разработке проектной документации, выполнению работ по благоустройству скверов «Березовая роща» и «Вишневый сад» - 106,4</w:t>
      </w:r>
      <w:r w:rsidRPr="00D167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16797">
        <w:rPr>
          <w:rFonts w:ascii="Times New Roman" w:hAnsi="Times New Roman" w:cs="Times New Roman"/>
          <w:sz w:val="24"/>
          <w:szCs w:val="24"/>
        </w:rPr>
        <w:t>млн.</w:t>
      </w:r>
      <w:r w:rsidR="00E13684">
        <w:rPr>
          <w:rFonts w:ascii="Times New Roman" w:hAnsi="Times New Roman" w:cs="Times New Roman"/>
          <w:sz w:val="24"/>
          <w:szCs w:val="24"/>
        </w:rPr>
        <w:t xml:space="preserve"> </w:t>
      </w:r>
      <w:r w:rsidRPr="00D16797">
        <w:rPr>
          <w:rFonts w:ascii="Times New Roman" w:hAnsi="Times New Roman" w:cs="Times New Roman"/>
          <w:sz w:val="24"/>
          <w:szCs w:val="24"/>
        </w:rPr>
        <w:t>рублей; зон для досуга и отдыха в парке культуры и отдыха «Москворецкий» - 59,9 млн.</w:t>
      </w:r>
      <w:r w:rsidR="00E13684">
        <w:rPr>
          <w:rFonts w:ascii="Times New Roman" w:hAnsi="Times New Roman" w:cs="Times New Roman"/>
          <w:sz w:val="24"/>
          <w:szCs w:val="24"/>
        </w:rPr>
        <w:t xml:space="preserve"> </w:t>
      </w:r>
      <w:r w:rsidRPr="00D16797">
        <w:rPr>
          <w:rFonts w:ascii="Times New Roman" w:hAnsi="Times New Roman" w:cs="Times New Roman"/>
          <w:sz w:val="24"/>
          <w:szCs w:val="24"/>
        </w:rPr>
        <w:t>рублей;</w:t>
      </w:r>
    </w:p>
    <w:p w:rsidR="00511F57" w:rsidRPr="00D16797" w:rsidRDefault="00511F57" w:rsidP="00511F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16797">
        <w:rPr>
          <w:rFonts w:ascii="Times New Roman" w:hAnsi="Times New Roman" w:cs="Times New Roman"/>
          <w:sz w:val="24"/>
          <w:szCs w:val="24"/>
        </w:rPr>
        <w:t xml:space="preserve">по ремонту </w:t>
      </w:r>
      <w:r w:rsidRPr="00D167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дворовых территорий -17,2 млн.</w:t>
      </w:r>
      <w:r w:rsidR="00E1368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167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рублей; </w:t>
      </w:r>
    </w:p>
    <w:p w:rsidR="00511F57" w:rsidRPr="00D16797" w:rsidRDefault="00511F57" w:rsidP="00511F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7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 переселению граждан из аварийного жилищного фонда – 3,5 млн.</w:t>
      </w:r>
      <w:r w:rsidR="00E1368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167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рублей.</w:t>
      </w:r>
    </w:p>
    <w:p w:rsidR="00511F57" w:rsidRPr="00D16797" w:rsidRDefault="00511F57" w:rsidP="00511F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167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рамках национального проекта «Демография» подготовлено основание для спортивной площадки - 1,9 млн.</w:t>
      </w:r>
      <w:r w:rsidR="00E1368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167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рублей.</w:t>
      </w:r>
    </w:p>
    <w:p w:rsidR="00511F57" w:rsidRDefault="00511F57" w:rsidP="0031104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долг по итогам 2022 года составил 162,6 млн.</w:t>
      </w:r>
      <w:r w:rsidR="00E136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рублей.</w:t>
      </w:r>
    </w:p>
    <w:p w:rsidR="00367D6E" w:rsidRDefault="00367D6E" w:rsidP="009911E2">
      <w:pPr>
        <w:shd w:val="clear" w:color="auto" w:fill="FFFFFF"/>
        <w:suppressAutoHyphens/>
        <w:spacing w:after="0" w:line="240" w:lineRule="auto"/>
        <w:ind w:left="4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совершенствования открытости бюджетных данных на официальном сайте городского округа Воскресенск Московской области </w:t>
      </w:r>
      <w:r w:rsidR="00D74FA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D74FA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юджет для граждан», сформированный на основе проекта решения Совета депутатов городского округа Воскресенск «Об исполнении бюджета городского округа Воскресенск Московской области за 2022 год».</w:t>
      </w:r>
    </w:p>
    <w:sectPr w:rsidR="00367D6E" w:rsidSect="008A1523">
      <w:footerReference w:type="default" r:id="rId10"/>
      <w:pgSz w:w="11906" w:h="16838"/>
      <w:pgMar w:top="426" w:right="567" w:bottom="142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240" w:rsidRDefault="00B35240">
      <w:pPr>
        <w:spacing w:after="0" w:line="240" w:lineRule="auto"/>
      </w:pPr>
      <w:r>
        <w:separator/>
      </w:r>
    </w:p>
  </w:endnote>
  <w:endnote w:type="continuationSeparator" w:id="0">
    <w:p w:rsidR="00B35240" w:rsidRDefault="00B3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240" w:rsidRDefault="00B352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240" w:rsidRDefault="00B35240">
      <w:pPr>
        <w:spacing w:after="0" w:line="240" w:lineRule="auto"/>
      </w:pPr>
      <w:r>
        <w:separator/>
      </w:r>
    </w:p>
  </w:footnote>
  <w:footnote w:type="continuationSeparator" w:id="0">
    <w:p w:rsidR="00B35240" w:rsidRDefault="00B35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3B3"/>
    <w:multiLevelType w:val="multilevel"/>
    <w:tmpl w:val="73DAF0BA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A91451"/>
    <w:multiLevelType w:val="multilevel"/>
    <w:tmpl w:val="1C7E5B8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9433B2"/>
    <w:multiLevelType w:val="multilevel"/>
    <w:tmpl w:val="DA8E1A9C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CD5830"/>
    <w:multiLevelType w:val="multilevel"/>
    <w:tmpl w:val="04EE9794"/>
    <w:lvl w:ilvl="0">
      <w:start w:val="1"/>
      <w:numFmt w:val="bullet"/>
      <w:lvlText w:val="⎯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B23097"/>
    <w:multiLevelType w:val="multilevel"/>
    <w:tmpl w:val="86CE0CD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3436E14"/>
    <w:multiLevelType w:val="multilevel"/>
    <w:tmpl w:val="6FB4C7B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3F06F2C"/>
    <w:multiLevelType w:val="multilevel"/>
    <w:tmpl w:val="8E1A1510"/>
    <w:lvl w:ilvl="0">
      <w:start w:val="3"/>
      <w:numFmt w:val="decimal"/>
      <w:lvlText w:val="%1."/>
      <w:lvlJc w:val="left"/>
      <w:pPr>
        <w:ind w:left="3228" w:hanging="360"/>
      </w:pPr>
    </w:lvl>
    <w:lvl w:ilvl="1">
      <w:start w:val="1"/>
      <w:numFmt w:val="lowerLetter"/>
      <w:lvlText w:val="%2."/>
      <w:lvlJc w:val="left"/>
      <w:pPr>
        <w:ind w:left="3948" w:hanging="360"/>
      </w:pPr>
    </w:lvl>
    <w:lvl w:ilvl="2">
      <w:start w:val="1"/>
      <w:numFmt w:val="lowerRoman"/>
      <w:lvlText w:val="%3."/>
      <w:lvlJc w:val="right"/>
      <w:pPr>
        <w:ind w:left="4668" w:hanging="180"/>
      </w:pPr>
    </w:lvl>
    <w:lvl w:ilvl="3">
      <w:start w:val="1"/>
      <w:numFmt w:val="decimal"/>
      <w:lvlText w:val="%4."/>
      <w:lvlJc w:val="left"/>
      <w:pPr>
        <w:ind w:left="5388" w:hanging="360"/>
      </w:pPr>
    </w:lvl>
    <w:lvl w:ilvl="4">
      <w:start w:val="1"/>
      <w:numFmt w:val="lowerLetter"/>
      <w:lvlText w:val="%5."/>
      <w:lvlJc w:val="left"/>
      <w:pPr>
        <w:ind w:left="6108" w:hanging="360"/>
      </w:pPr>
    </w:lvl>
    <w:lvl w:ilvl="5">
      <w:start w:val="1"/>
      <w:numFmt w:val="lowerRoman"/>
      <w:lvlText w:val="%6."/>
      <w:lvlJc w:val="right"/>
      <w:pPr>
        <w:ind w:left="6828" w:hanging="180"/>
      </w:pPr>
    </w:lvl>
    <w:lvl w:ilvl="6">
      <w:start w:val="1"/>
      <w:numFmt w:val="decimal"/>
      <w:lvlText w:val="%7."/>
      <w:lvlJc w:val="left"/>
      <w:pPr>
        <w:ind w:left="7548" w:hanging="360"/>
      </w:pPr>
    </w:lvl>
    <w:lvl w:ilvl="7">
      <w:start w:val="1"/>
      <w:numFmt w:val="lowerLetter"/>
      <w:lvlText w:val="%8."/>
      <w:lvlJc w:val="left"/>
      <w:pPr>
        <w:ind w:left="8268" w:hanging="360"/>
      </w:pPr>
    </w:lvl>
    <w:lvl w:ilvl="8">
      <w:start w:val="1"/>
      <w:numFmt w:val="lowerRoman"/>
      <w:lvlText w:val="%9."/>
      <w:lvlJc w:val="right"/>
      <w:pPr>
        <w:ind w:left="8988" w:hanging="180"/>
      </w:pPr>
    </w:lvl>
  </w:abstractNum>
  <w:abstractNum w:abstractNumId="7" w15:restartNumberingAfterBreak="0">
    <w:nsid w:val="28F56FAB"/>
    <w:multiLevelType w:val="multilevel"/>
    <w:tmpl w:val="8C369FCC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95145D7"/>
    <w:multiLevelType w:val="multilevel"/>
    <w:tmpl w:val="0F42C1B4"/>
    <w:lvl w:ilvl="0">
      <w:start w:val="1"/>
      <w:numFmt w:val="bullet"/>
      <w:lvlText w:val="❖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B853BC5"/>
    <w:multiLevelType w:val="multilevel"/>
    <w:tmpl w:val="7CBC9DA2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0C659C8"/>
    <w:multiLevelType w:val="multilevel"/>
    <w:tmpl w:val="2DAA4D8C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75D1C94"/>
    <w:multiLevelType w:val="multilevel"/>
    <w:tmpl w:val="03AA02E4"/>
    <w:lvl w:ilvl="0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D45144"/>
    <w:multiLevelType w:val="multilevel"/>
    <w:tmpl w:val="C5644732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93073DF"/>
    <w:multiLevelType w:val="multilevel"/>
    <w:tmpl w:val="02FCC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784257D"/>
    <w:multiLevelType w:val="multilevel"/>
    <w:tmpl w:val="E0362E1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CDC21E9"/>
    <w:multiLevelType w:val="multilevel"/>
    <w:tmpl w:val="53901BC6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1555438"/>
    <w:multiLevelType w:val="multilevel"/>
    <w:tmpl w:val="525E699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9466FEA"/>
    <w:multiLevelType w:val="multilevel"/>
    <w:tmpl w:val="43962C00"/>
    <w:lvl w:ilvl="0">
      <w:start w:val="1"/>
      <w:numFmt w:val="bullet"/>
      <w:lvlText w:val="❖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F9F6B19"/>
    <w:multiLevelType w:val="multilevel"/>
    <w:tmpl w:val="D9DA1A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B3CAB"/>
    <w:multiLevelType w:val="multilevel"/>
    <w:tmpl w:val="34DEB9C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7DF154B5"/>
    <w:multiLevelType w:val="multilevel"/>
    <w:tmpl w:val="C4C094CE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3"/>
  </w:num>
  <w:num w:numId="5">
    <w:abstractNumId w:val="7"/>
  </w:num>
  <w:num w:numId="6">
    <w:abstractNumId w:val="17"/>
  </w:num>
  <w:num w:numId="7">
    <w:abstractNumId w:val="10"/>
  </w:num>
  <w:num w:numId="8">
    <w:abstractNumId w:val="6"/>
  </w:num>
  <w:num w:numId="9">
    <w:abstractNumId w:val="8"/>
  </w:num>
  <w:num w:numId="10">
    <w:abstractNumId w:val="16"/>
  </w:num>
  <w:num w:numId="11">
    <w:abstractNumId w:val="14"/>
  </w:num>
  <w:num w:numId="12">
    <w:abstractNumId w:val="0"/>
  </w:num>
  <w:num w:numId="13">
    <w:abstractNumId w:val="12"/>
  </w:num>
  <w:num w:numId="14">
    <w:abstractNumId w:val="15"/>
  </w:num>
  <w:num w:numId="15">
    <w:abstractNumId w:val="20"/>
  </w:num>
  <w:num w:numId="16">
    <w:abstractNumId w:val="5"/>
  </w:num>
  <w:num w:numId="17">
    <w:abstractNumId w:val="1"/>
  </w:num>
  <w:num w:numId="18">
    <w:abstractNumId w:val="18"/>
  </w:num>
  <w:num w:numId="19">
    <w:abstractNumId w:val="19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8A"/>
    <w:rsid w:val="00015471"/>
    <w:rsid w:val="00030CDF"/>
    <w:rsid w:val="000407CE"/>
    <w:rsid w:val="0006082E"/>
    <w:rsid w:val="00093A25"/>
    <w:rsid w:val="001218CE"/>
    <w:rsid w:val="001441AC"/>
    <w:rsid w:val="0015183E"/>
    <w:rsid w:val="001913D4"/>
    <w:rsid w:val="001C13BC"/>
    <w:rsid w:val="001D54DA"/>
    <w:rsid w:val="001F6B58"/>
    <w:rsid w:val="0020261B"/>
    <w:rsid w:val="002040C3"/>
    <w:rsid w:val="00215480"/>
    <w:rsid w:val="002154BE"/>
    <w:rsid w:val="00266A6A"/>
    <w:rsid w:val="0027136E"/>
    <w:rsid w:val="00284C64"/>
    <w:rsid w:val="00285E4D"/>
    <w:rsid w:val="002D7424"/>
    <w:rsid w:val="002E21A7"/>
    <w:rsid w:val="002F2B14"/>
    <w:rsid w:val="0031104D"/>
    <w:rsid w:val="00367D6E"/>
    <w:rsid w:val="003717BE"/>
    <w:rsid w:val="00374454"/>
    <w:rsid w:val="00383AFD"/>
    <w:rsid w:val="003D4F21"/>
    <w:rsid w:val="003F7272"/>
    <w:rsid w:val="00446726"/>
    <w:rsid w:val="0045550A"/>
    <w:rsid w:val="004B717E"/>
    <w:rsid w:val="004E6284"/>
    <w:rsid w:val="0050561D"/>
    <w:rsid w:val="00511F57"/>
    <w:rsid w:val="00514288"/>
    <w:rsid w:val="00530CEE"/>
    <w:rsid w:val="005315E8"/>
    <w:rsid w:val="00532DF1"/>
    <w:rsid w:val="0054210C"/>
    <w:rsid w:val="005767C3"/>
    <w:rsid w:val="0058426A"/>
    <w:rsid w:val="005935CC"/>
    <w:rsid w:val="005B3600"/>
    <w:rsid w:val="005C4F02"/>
    <w:rsid w:val="0060064E"/>
    <w:rsid w:val="00612338"/>
    <w:rsid w:val="00612396"/>
    <w:rsid w:val="006155FB"/>
    <w:rsid w:val="00616B23"/>
    <w:rsid w:val="00626160"/>
    <w:rsid w:val="006E4C93"/>
    <w:rsid w:val="006F5D1E"/>
    <w:rsid w:val="007504B2"/>
    <w:rsid w:val="00752F1E"/>
    <w:rsid w:val="007C341D"/>
    <w:rsid w:val="00813652"/>
    <w:rsid w:val="00814F20"/>
    <w:rsid w:val="00833AC3"/>
    <w:rsid w:val="008440FB"/>
    <w:rsid w:val="00857664"/>
    <w:rsid w:val="00887E5B"/>
    <w:rsid w:val="008A1523"/>
    <w:rsid w:val="008C5F4F"/>
    <w:rsid w:val="008D24BF"/>
    <w:rsid w:val="0091314F"/>
    <w:rsid w:val="00936769"/>
    <w:rsid w:val="00974A93"/>
    <w:rsid w:val="009911E2"/>
    <w:rsid w:val="00996D12"/>
    <w:rsid w:val="009C4944"/>
    <w:rsid w:val="00A02C4A"/>
    <w:rsid w:val="00A07C4A"/>
    <w:rsid w:val="00A1546F"/>
    <w:rsid w:val="00A25FE5"/>
    <w:rsid w:val="00A40AE7"/>
    <w:rsid w:val="00A642A3"/>
    <w:rsid w:val="00AA05DE"/>
    <w:rsid w:val="00AA574B"/>
    <w:rsid w:val="00AC780C"/>
    <w:rsid w:val="00AD24B4"/>
    <w:rsid w:val="00AF3EA1"/>
    <w:rsid w:val="00AF65B9"/>
    <w:rsid w:val="00B033B1"/>
    <w:rsid w:val="00B06B6E"/>
    <w:rsid w:val="00B2311C"/>
    <w:rsid w:val="00B35240"/>
    <w:rsid w:val="00B35722"/>
    <w:rsid w:val="00B47ECF"/>
    <w:rsid w:val="00B565C8"/>
    <w:rsid w:val="00B8198A"/>
    <w:rsid w:val="00BA4847"/>
    <w:rsid w:val="00BB4256"/>
    <w:rsid w:val="00BC13C9"/>
    <w:rsid w:val="00BC36AC"/>
    <w:rsid w:val="00C12B47"/>
    <w:rsid w:val="00C203FC"/>
    <w:rsid w:val="00C330E4"/>
    <w:rsid w:val="00C677B5"/>
    <w:rsid w:val="00CD66E8"/>
    <w:rsid w:val="00CF49B8"/>
    <w:rsid w:val="00D01E2C"/>
    <w:rsid w:val="00D10939"/>
    <w:rsid w:val="00D135B9"/>
    <w:rsid w:val="00D16797"/>
    <w:rsid w:val="00D22B16"/>
    <w:rsid w:val="00D24F1D"/>
    <w:rsid w:val="00D50F64"/>
    <w:rsid w:val="00D638EA"/>
    <w:rsid w:val="00D6633E"/>
    <w:rsid w:val="00D73AA8"/>
    <w:rsid w:val="00D74FA8"/>
    <w:rsid w:val="00DA3B87"/>
    <w:rsid w:val="00DA6346"/>
    <w:rsid w:val="00DB10B9"/>
    <w:rsid w:val="00DC004F"/>
    <w:rsid w:val="00DC07E1"/>
    <w:rsid w:val="00DC4524"/>
    <w:rsid w:val="00DC7C86"/>
    <w:rsid w:val="00DE2718"/>
    <w:rsid w:val="00DE292C"/>
    <w:rsid w:val="00DF15DD"/>
    <w:rsid w:val="00E13326"/>
    <w:rsid w:val="00E13684"/>
    <w:rsid w:val="00E4177F"/>
    <w:rsid w:val="00E51F29"/>
    <w:rsid w:val="00E54810"/>
    <w:rsid w:val="00E54891"/>
    <w:rsid w:val="00E55045"/>
    <w:rsid w:val="00E67785"/>
    <w:rsid w:val="00EA5F9E"/>
    <w:rsid w:val="00EB3719"/>
    <w:rsid w:val="00EB3733"/>
    <w:rsid w:val="00EB573A"/>
    <w:rsid w:val="00EE118A"/>
    <w:rsid w:val="00EE2FD8"/>
    <w:rsid w:val="00EF5805"/>
    <w:rsid w:val="00F04996"/>
    <w:rsid w:val="00F11BF5"/>
    <w:rsid w:val="00F33E57"/>
    <w:rsid w:val="00F601F7"/>
    <w:rsid w:val="00F74DBE"/>
    <w:rsid w:val="00F91530"/>
    <w:rsid w:val="00FB22E3"/>
    <w:rsid w:val="00FC39BD"/>
    <w:rsid w:val="00FE18A8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9FB2B-2D66-40C5-A0A0-D9867988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spacing w:before="200" w:after="0" w:line="276" w:lineRule="auto"/>
      <w:outlineLvl w:val="1"/>
    </w:pPr>
    <w:rPr>
      <w:rFonts w:ascii="Cambria" w:eastAsia="Cambria" w:hAnsi="Cambria" w:cs="Cambria"/>
      <w:b/>
      <w:sz w:val="26"/>
      <w:szCs w:val="26"/>
    </w:rPr>
  </w:style>
  <w:style w:type="paragraph" w:styleId="3">
    <w:name w:val="heading 3"/>
    <w:basedOn w:val="a"/>
    <w:next w:val="a"/>
    <w:pPr>
      <w:spacing w:before="200" w:after="0" w:line="271" w:lineRule="auto"/>
      <w:outlineLvl w:val="2"/>
    </w:pPr>
    <w:rPr>
      <w:rFonts w:ascii="Cambria" w:eastAsia="Cambria" w:hAnsi="Cambria" w:cs="Cambria"/>
      <w:b/>
    </w:rPr>
  </w:style>
  <w:style w:type="paragraph" w:styleId="4">
    <w:name w:val="heading 4"/>
    <w:basedOn w:val="a"/>
    <w:next w:val="a"/>
    <w:pPr>
      <w:spacing w:before="200" w:after="0" w:line="276" w:lineRule="auto"/>
      <w:outlineLvl w:val="3"/>
    </w:pPr>
    <w:rPr>
      <w:rFonts w:ascii="Cambria" w:eastAsia="Cambria" w:hAnsi="Cambria" w:cs="Cambria"/>
      <w:b/>
      <w:i/>
    </w:rPr>
  </w:style>
  <w:style w:type="paragraph" w:styleId="5">
    <w:name w:val="heading 5"/>
    <w:basedOn w:val="a"/>
    <w:next w:val="a"/>
    <w:pPr>
      <w:spacing w:before="200" w:after="0" w:line="276" w:lineRule="auto"/>
      <w:outlineLvl w:val="4"/>
    </w:pPr>
    <w:rPr>
      <w:rFonts w:ascii="Cambria" w:eastAsia="Cambria" w:hAnsi="Cambria" w:cs="Cambria"/>
      <w:b/>
      <w:color w:val="7F7F7F"/>
    </w:rPr>
  </w:style>
  <w:style w:type="paragraph" w:styleId="6">
    <w:name w:val="heading 6"/>
    <w:basedOn w:val="a"/>
    <w:next w:val="a"/>
    <w:pPr>
      <w:spacing w:after="0" w:line="271" w:lineRule="auto"/>
      <w:outlineLvl w:val="5"/>
    </w:pPr>
    <w:rPr>
      <w:rFonts w:ascii="Cambria" w:eastAsia="Cambria" w:hAnsi="Cambria" w:cs="Cambria"/>
      <w:b/>
      <w:i/>
      <w:color w:val="7F7F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a4">
    <w:name w:val="Subtitle"/>
    <w:basedOn w:val="a"/>
    <w:next w:val="a"/>
    <w:pPr>
      <w:spacing w:after="600" w:line="276" w:lineRule="auto"/>
    </w:pPr>
    <w:rPr>
      <w:rFonts w:ascii="Cambria" w:eastAsia="Cambria" w:hAnsi="Cambria" w:cs="Cambria"/>
      <w:i/>
      <w:sz w:val="24"/>
      <w:szCs w:val="24"/>
    </w:rPr>
  </w:style>
  <w:style w:type="table" w:customStyle="1" w:styleId="a5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6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7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8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9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a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b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c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d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e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0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1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2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3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4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5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6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7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8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9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a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b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c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d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e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0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1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2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3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4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5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6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7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8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9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a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b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c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d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e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0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1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2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F9B07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ff3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  <w:tblStylePr w:type="firstRow">
      <w:rPr>
        <w:b/>
      </w:rPr>
      <w:tblPr/>
      <w:tcPr>
        <w:shd w:val="clear" w:color="auto" w:fill="E5B8B7"/>
      </w:tcPr>
    </w:tblStylePr>
    <w:tblStylePr w:type="lastRow">
      <w:rPr>
        <w:b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afff4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  <w:tblStylePr w:type="firstRow">
      <w:rPr>
        <w:b/>
      </w:rPr>
      <w:tblPr/>
      <w:tcPr>
        <w:shd w:val="clear" w:color="auto" w:fill="D6E3BC"/>
      </w:tcPr>
    </w:tblStylePr>
    <w:tblStylePr w:type="lastRow">
      <w:rPr>
        <w:b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afff5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6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7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8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9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a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b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c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d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paragraph" w:styleId="afffe">
    <w:name w:val="Balloon Text"/>
    <w:basedOn w:val="a"/>
    <w:link w:val="affff"/>
    <w:uiPriority w:val="99"/>
    <w:semiHidden/>
    <w:unhideWhenUsed/>
    <w:rsid w:val="00215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2154BE"/>
    <w:rPr>
      <w:rFonts w:ascii="Segoe UI" w:hAnsi="Segoe UI" w:cs="Segoe UI"/>
      <w:sz w:val="18"/>
      <w:szCs w:val="18"/>
    </w:rPr>
  </w:style>
  <w:style w:type="paragraph" w:styleId="affff0">
    <w:name w:val="Normal (Web)"/>
    <w:basedOn w:val="a"/>
    <w:uiPriority w:val="99"/>
    <w:semiHidden/>
    <w:unhideWhenUsed/>
    <w:rsid w:val="00B5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ff1">
    <w:name w:val="Table Grid"/>
    <w:basedOn w:val="a1"/>
    <w:uiPriority w:val="39"/>
    <w:rsid w:val="00B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2">
    <w:name w:val="header"/>
    <w:basedOn w:val="a"/>
    <w:link w:val="affff3"/>
    <w:uiPriority w:val="99"/>
    <w:unhideWhenUsed/>
    <w:rsid w:val="008C5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3">
    <w:name w:val="Верхний колонтитул Знак"/>
    <w:basedOn w:val="a0"/>
    <w:link w:val="affff2"/>
    <w:uiPriority w:val="99"/>
    <w:rsid w:val="008C5F4F"/>
  </w:style>
  <w:style w:type="paragraph" w:styleId="affff4">
    <w:name w:val="footer"/>
    <w:basedOn w:val="a"/>
    <w:link w:val="affff5"/>
    <w:uiPriority w:val="99"/>
    <w:unhideWhenUsed/>
    <w:rsid w:val="008C5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5">
    <w:name w:val="Нижний колонтитул Знак"/>
    <w:basedOn w:val="a0"/>
    <w:link w:val="affff4"/>
    <w:uiPriority w:val="99"/>
    <w:rsid w:val="008C5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75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4752186588921331E-2"/>
          <c:y val="3.8095238095238099E-2"/>
          <c:w val="0.72011661807580174"/>
          <c:h val="0.833333333333333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rgbClr val="9999FF"/>
            </a:solidFill>
            <a:ln w="951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0356538765987547E-2"/>
                  <c:y val="2.9090790895720077E-4"/>
                </c:manualLayout>
              </c:layout>
              <c:spPr>
                <a:noFill/>
                <a:ln w="19138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912-4AC3-A6CB-33DCEC75C03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7774444861058645E-3"/>
                  <c:y val="-1.1733827389223406E-2"/>
                </c:manualLayout>
              </c:layout>
              <c:spPr>
                <a:noFill/>
                <a:ln w="19138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7DC-49B8-92B1-0F708E850DB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4.6277548639753363E-2"/>
                  <c:y val="-8.5338403906941966E-3"/>
                </c:manualLayout>
              </c:layout>
              <c:tx>
                <c:rich>
                  <a:bodyPr/>
                  <a:lstStyle/>
                  <a:p>
                    <a:pPr>
                      <a:defRPr sz="1400" b="1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Calibri"/>
                        <a:cs typeface="Calibri"/>
                      </a:defRPr>
                    </a:pPr>
                    <a:r>
                      <a:rPr lang="en-US"/>
                      <a:t>7 221,7</a:t>
                    </a:r>
                  </a:p>
                </c:rich>
              </c:tx>
              <c:spPr>
                <a:noFill/>
                <a:ln w="19138"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7DC-49B8-92B1-0F708E850DB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191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Sheet1!$B$2:$E$2</c:f>
              <c:numCache>
                <c:formatCode>#\ ##0.0</c:formatCode>
                <c:ptCount val="4"/>
                <c:pt idx="0">
                  <c:v>6275.9</c:v>
                </c:pt>
                <c:pt idx="1">
                  <c:v>6074.1</c:v>
                </c:pt>
                <c:pt idx="2">
                  <c:v>7221.8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7DC-49B8-92B1-0F708E850DB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993366"/>
            </a:solidFill>
            <a:ln w="951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5114943965337664E-2"/>
                  <c:y val="-7.6830891494600331E-2"/>
                </c:manualLayout>
              </c:layout>
              <c:spPr>
                <a:noFill/>
                <a:ln w="19138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912-4AC3-A6CB-33DCEC75C03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0260634087405739E-2"/>
                  <c:y val="-7.0528103491707503E-2"/>
                </c:manualLayout>
              </c:layout>
              <c:spPr>
                <a:noFill/>
                <a:ln w="19138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7DC-49B8-92B1-0F708E850DB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8.3880514935633047E-2"/>
                  <c:y val="7.3752793284740339E-2"/>
                </c:manualLayout>
              </c:layout>
              <c:spPr>
                <a:noFill/>
                <a:ln w="19138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7DC-49B8-92B1-0F708E850DB4}"/>
                </c:ext>
                <c:ext xmlns:c15="http://schemas.microsoft.com/office/drawing/2012/chart" uri="{CE6537A1-D6FC-4f65-9D91-7224C49458BB}">
                  <c15:layout>
                    <c:manualLayout>
                      <c:w val="0.12235870516185476"/>
                      <c:h val="7.974777146664716E-2"/>
                    </c:manualLayout>
                  </c15:layout>
                </c:ext>
              </c:extLst>
            </c:dLbl>
            <c:spPr>
              <a:noFill/>
              <a:ln w="191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Sheet1!$B$3:$E$3</c:f>
              <c:numCache>
                <c:formatCode>#\ ##0.0</c:formatCode>
                <c:ptCount val="4"/>
                <c:pt idx="0">
                  <c:v>6282.5</c:v>
                </c:pt>
                <c:pt idx="1">
                  <c:v>6286.9</c:v>
                </c:pt>
                <c:pt idx="2">
                  <c:v>6890.1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97DC-49B8-92B1-0F708E850DB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Дефицит (-) /    Профицит(+)</c:v>
                </c:pt>
              </c:strCache>
            </c:strRef>
          </c:tx>
          <c:spPr>
            <a:solidFill>
              <a:srgbClr val="FFFFCC"/>
            </a:solidFill>
            <a:ln w="951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2025913427488231E-2"/>
                  <c:y val="7.1569846338867087E-3"/>
                </c:manualLayout>
              </c:layout>
              <c:tx>
                <c:rich>
                  <a:bodyPr/>
                  <a:lstStyle/>
                  <a:p>
                    <a:pPr>
                      <a:defRPr sz="1400" b="1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Calibri"/>
                        <a:cs typeface="Calibri"/>
                      </a:defRPr>
                    </a:pPr>
                    <a:r>
                      <a:rPr lang="en-US" sz="1400" baseline="0" dirty="0">
                        <a:latin typeface="Times New Roman" panose="02020603050405020304" pitchFamily="18" charset="0"/>
                      </a:rPr>
                      <a:t>- </a:t>
                    </a:r>
                    <a:r>
                      <a:rPr lang="en-US" sz="1400" baseline="0" dirty="0" smtClean="0">
                        <a:latin typeface="Times New Roman" panose="02020603050405020304" pitchFamily="18" charset="0"/>
                      </a:rPr>
                      <a:t>6,6</a:t>
                    </a:r>
                    <a:endParaRPr lang="en-US" sz="1400" baseline="0" dirty="0">
                      <a:latin typeface="Times New Roman" panose="02020603050405020304" pitchFamily="18" charset="0"/>
                    </a:endParaRPr>
                  </a:p>
                  <a:p>
                    <a:pPr>
                      <a:defRPr sz="1400" b="1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Calibri"/>
                        <a:cs typeface="Calibri"/>
                      </a:defRPr>
                    </a:pPr>
                    <a:endParaRPr lang="en-US" sz="1400" baseline="0" dirty="0">
                      <a:latin typeface="Times New Roman" panose="02020603050405020304" pitchFamily="18" charset="0"/>
                    </a:endParaRPr>
                  </a:p>
                </c:rich>
              </c:tx>
              <c:spPr>
                <a:noFill/>
                <a:ln w="19138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7DC-49B8-92B1-0F708E850DB4}"/>
                </c:ext>
                <c:ext xmlns:c15="http://schemas.microsoft.com/office/drawing/2012/chart" uri="{CE6537A1-D6FC-4f65-9D91-7224C49458BB}">
                  <c15:layout>
                    <c:manualLayout>
                      <c:w val="7.4772986709994577E-2"/>
                      <c:h val="6.8470295702201311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5.4287547389909596E-2"/>
                  <c:y val="2.8240819742733549E-2"/>
                </c:manualLayout>
              </c:layout>
              <c:spPr>
                <a:noFill/>
                <a:ln w="19138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7DC-49B8-92B1-0F708E850DB4}"/>
                </c:ext>
                <c:ext xmlns:c15="http://schemas.microsoft.com/office/drawing/2012/chart" uri="{CE6537A1-D6FC-4f65-9D91-7224C49458BB}">
                  <c15:layout>
                    <c:manualLayout>
                      <c:w val="0.10749822938799317"/>
                      <c:h val="7.9509844551164846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4.5272840894888138E-2"/>
                  <c:y val="9.0311466484645324E-3"/>
                </c:manualLayout>
              </c:layout>
              <c:tx>
                <c:rich>
                  <a:bodyPr/>
                  <a:lstStyle/>
                  <a:p>
                    <a:pPr>
                      <a:defRPr sz="1400" b="1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Calibri"/>
                        <a:cs typeface="Calibri"/>
                      </a:defRPr>
                    </a:pPr>
                    <a:r>
                      <a:rPr lang="en-US"/>
                      <a:t>331,6</a:t>
                    </a:r>
                  </a:p>
                </c:rich>
              </c:tx>
              <c:spPr>
                <a:noFill/>
                <a:ln w="19138"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937-488C-8C54-BA6D1A47158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191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-6.6</c:v>
                </c:pt>
                <c:pt idx="1">
                  <c:v>-212.8</c:v>
                </c:pt>
                <c:pt idx="2" formatCode="#\ ##0.0">
                  <c:v>331.69999999999982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7DC-49B8-92B1-0F708E850D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66951080"/>
        <c:axId val="566951472"/>
        <c:axId val="0"/>
      </c:bar3DChart>
      <c:catAx>
        <c:axId val="566951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Calibri"/>
              </a:defRPr>
            </a:pPr>
            <a:endParaRPr lang="ru-RU"/>
          </a:p>
        </c:txPr>
        <c:crossAx val="5669514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66951472"/>
        <c:scaling>
          <c:orientation val="minMax"/>
          <c:max val="8000"/>
          <c:min val="-1000"/>
        </c:scaling>
        <c:delete val="0"/>
        <c:axPos val="l"/>
        <c:majorGridlines>
          <c:spPr>
            <a:ln w="2379">
              <a:solidFill>
                <a:srgbClr val="000000"/>
              </a:solidFill>
              <a:prstDash val="solid"/>
            </a:ln>
          </c:spPr>
        </c:majorGridlines>
        <c:numFmt formatCode="#\ ##0.0" sourceLinked="1"/>
        <c:majorTickMark val="out"/>
        <c:minorTickMark val="none"/>
        <c:tickLblPos val="nextTo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Calibri"/>
              </a:defRPr>
            </a:pPr>
            <a:endParaRPr lang="ru-RU"/>
          </a:p>
        </c:txPr>
        <c:crossAx val="566951080"/>
        <c:crosses val="autoZero"/>
        <c:crossBetween val="between"/>
        <c:majorUnit val="1000"/>
        <c:minorUnit val="200"/>
      </c:valAx>
      <c:spPr>
        <a:noFill/>
        <a:ln w="19138">
          <a:noFill/>
        </a:ln>
      </c:spPr>
    </c:plotArea>
    <c:legend>
      <c:legendPos val="r"/>
      <c:layout>
        <c:manualLayout>
          <c:xMode val="edge"/>
          <c:yMode val="edge"/>
          <c:x val="0.76052881912188486"/>
          <c:y val="7.5180529127488988E-2"/>
          <c:w val="0.23531593736729575"/>
          <c:h val="0.7336122544843674"/>
        </c:manualLayout>
      </c:layout>
      <c:overlay val="0"/>
      <c:spPr>
        <a:noFill/>
        <a:ln w="19028">
          <a:noFill/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38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859606646934926"/>
          <c:y val="3.8193213903627649E-2"/>
          <c:w val="0.59384271410518175"/>
          <c:h val="0.781502399864726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Налоговые, неналоговые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992916312970149E-2"/>
                  <c:y val="-3.08269202198781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125-428E-A801-80FECC5EBE7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3811551857904551E-2"/>
                  <c:y val="-5.93925759280092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F56-418E-B97A-CC8F22F149EE}"/>
                </c:ext>
                <c:ext xmlns:c15="http://schemas.microsoft.com/office/drawing/2012/chart" uri="{CE6537A1-D6FC-4f65-9D91-7224C49458BB}">
                  <c15:layout>
                    <c:manualLayout>
                      <c:w val="0.1111111111111111"/>
                      <c:h val="4.4028103044496489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4.182389937106918E-2"/>
                  <c:y val="-2.6992691487334582E-2"/>
                </c:manualLayout>
              </c:layout>
              <c:tx>
                <c:rich>
                  <a:bodyPr/>
                  <a:lstStyle/>
                  <a:p>
                    <a:pPr>
                      <a:defRPr sz="1400" b="1" baseline="0">
                        <a:latin typeface="Times New Roman" pitchFamily="18" charset="0"/>
                      </a:defRPr>
                    </a:pPr>
                    <a:r>
                      <a:rPr lang="en-US"/>
                      <a:t>4</a:t>
                    </a:r>
                    <a:r>
                      <a:rPr lang="en-US" baseline="0"/>
                      <a:t> 039,5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125-428E-A801-80FECC5EBE74}"/>
                </c:ext>
                <c:ext xmlns:c15="http://schemas.microsoft.com/office/drawing/2012/chart" uri="{CE6537A1-D6FC-4f65-9D91-7224C49458BB}">
                  <c15:layout>
                    <c:manualLayout>
                      <c:w val="0.1395376285511481"/>
                      <c:h val="6.2522020812972146E-2"/>
                    </c:manualLayout>
                  </c15:layout>
                </c:ext>
              </c:extLst>
            </c:dLbl>
            <c:spPr>
              <a:noFill/>
              <a:ln w="17273">
                <a:noFill/>
              </a:ln>
            </c:spPr>
            <c:txPr>
              <a:bodyPr/>
              <a:lstStyle/>
              <a:p>
                <a:pPr>
                  <a:defRPr sz="1400" b="1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 г</c:v>
                </c:pt>
                <c:pt idx="1">
                  <c:v>2021 г</c:v>
                </c:pt>
                <c:pt idx="2">
                  <c:v>2022 г</c:v>
                </c:pt>
              </c:strCache>
            </c:strRef>
          </c:cat>
          <c:val>
            <c:numRef>
              <c:f>Лист1!$B$2:$B$4</c:f>
              <c:numCache>
                <c:formatCode>#\ ##0.0</c:formatCode>
                <c:ptCount val="3"/>
                <c:pt idx="0">
                  <c:v>3375.9</c:v>
                </c:pt>
                <c:pt idx="1">
                  <c:v>3366.9</c:v>
                </c:pt>
                <c:pt idx="2">
                  <c:v>4039.6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125-428E-A801-80FECC5EBE7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4862328529688467E-2"/>
                  <c:y val="-2.2688721286888348E-2"/>
                </c:manualLayout>
              </c:layout>
              <c:spPr/>
              <c:txPr>
                <a:bodyPr/>
                <a:lstStyle/>
                <a:p>
                  <a:pPr>
                    <a:defRPr sz="1400" b="1" baseline="0">
                      <a:latin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125-428E-A801-80FECC5EBE74}"/>
                </c:ext>
                <c:ext xmlns:c15="http://schemas.microsoft.com/office/drawing/2012/chart" uri="{CE6537A1-D6FC-4f65-9D91-7224C49458BB}">
                  <c15:layout>
                    <c:manualLayout>
                      <c:w val="0.11972284124861748"/>
                      <c:h val="7.3029068087800506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4.6514455209827395E-2"/>
                  <c:y val="-8.3494280196112173E-4"/>
                </c:manualLayout>
              </c:layout>
              <c:spPr/>
              <c:txPr>
                <a:bodyPr/>
                <a:lstStyle/>
                <a:p>
                  <a:pPr>
                    <a:defRPr sz="1400" b="1" baseline="0">
                      <a:latin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4125-428E-A801-80FECC5EBE74}"/>
                </c:ext>
                <c:ext xmlns:c15="http://schemas.microsoft.com/office/drawing/2012/chart" uri="{CE6537A1-D6FC-4f65-9D91-7224C49458BB}">
                  <c15:layout>
                    <c:manualLayout>
                      <c:w val="0.12810545521958455"/>
                      <c:h val="8.9028079037290139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4.9382716049382831E-2"/>
                  <c:y val="-1.0332007256811401E-2"/>
                </c:manualLayout>
              </c:layout>
              <c:spPr/>
              <c:txPr>
                <a:bodyPr/>
                <a:lstStyle/>
                <a:p>
                  <a:pPr>
                    <a:defRPr sz="1400" b="1" baseline="0">
                      <a:latin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4125-428E-A801-80FECC5EBE7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17273">
                <a:noFill/>
              </a:ln>
            </c:spPr>
            <c:txPr>
              <a:bodyPr/>
              <a:lstStyle/>
              <a:p>
                <a:pPr>
                  <a:defRPr sz="1400" b="1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 г</c:v>
                </c:pt>
                <c:pt idx="1">
                  <c:v>2021 г</c:v>
                </c:pt>
                <c:pt idx="2">
                  <c:v>2022 г</c:v>
                </c:pt>
              </c:strCache>
            </c:strRef>
          </c:cat>
          <c:val>
            <c:numRef>
              <c:f>Лист1!$C$2:$C$4</c:f>
              <c:numCache>
                <c:formatCode>#\ ##0.0</c:formatCode>
                <c:ptCount val="3"/>
                <c:pt idx="0">
                  <c:v>2900</c:v>
                </c:pt>
                <c:pt idx="1">
                  <c:v>2707.2</c:v>
                </c:pt>
                <c:pt idx="2">
                  <c:v>3182.2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125-428E-A801-80FECC5EBE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66952256"/>
        <c:axId val="563786104"/>
        <c:axId val="0"/>
      </c:bar3DChart>
      <c:catAx>
        <c:axId val="566952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 baseline="0">
                <a:latin typeface="Times New Roman" pitchFamily="18" charset="0"/>
              </a:defRPr>
            </a:pPr>
            <a:endParaRPr lang="ru-RU"/>
          </a:p>
        </c:txPr>
        <c:crossAx val="563786104"/>
        <c:crosses val="autoZero"/>
        <c:auto val="1"/>
        <c:lblAlgn val="ctr"/>
        <c:lblOffset val="100"/>
        <c:noMultiLvlLbl val="0"/>
      </c:catAx>
      <c:valAx>
        <c:axId val="563786104"/>
        <c:scaling>
          <c:orientation val="minMax"/>
        </c:scaling>
        <c:delete val="0"/>
        <c:axPos val="l"/>
        <c:majorGridlines/>
        <c:numFmt formatCode="#\ ##0.0" sourceLinked="1"/>
        <c:majorTickMark val="out"/>
        <c:minorTickMark val="none"/>
        <c:tickLblPos val="nextTo"/>
        <c:txPr>
          <a:bodyPr/>
          <a:lstStyle/>
          <a:p>
            <a:pPr>
              <a:defRPr sz="1000" b="1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66952256"/>
        <c:crosses val="autoZero"/>
        <c:crossBetween val="between"/>
      </c:valAx>
      <c:spPr>
        <a:noFill/>
        <a:ln w="17273">
          <a:noFill/>
        </a:ln>
      </c:spPr>
    </c:plotArea>
    <c:legend>
      <c:legendPos val="r"/>
      <c:layout>
        <c:manualLayout>
          <c:xMode val="edge"/>
          <c:yMode val="edge"/>
          <c:x val="0.70949075296223818"/>
          <c:y val="0.48385689699812667"/>
          <c:w val="0.29050924703776182"/>
          <c:h val="0.37067944408095121"/>
        </c:manualLayout>
      </c:layout>
      <c:overlay val="0"/>
      <c:spPr>
        <a:solidFill>
          <a:schemeClr val="bg1"/>
        </a:solidFill>
        <a:ln>
          <a:solidFill>
            <a:schemeClr val="bg1"/>
          </a:solidFill>
        </a:ln>
      </c:spPr>
      <c:txPr>
        <a:bodyPr/>
        <a:lstStyle/>
        <a:p>
          <a:pPr>
            <a:defRPr sz="1000" b="1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600" baseline="0">
          <a:latin typeface="Arial" pitchFamily="34" charset="0"/>
          <a:cs typeface="Arial" pitchFamily="34" charset="0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0.86845</cdr:y>
    </cdr:from>
    <cdr:to>
      <cdr:x>0.74757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4269704"/>
          <a:ext cx="6152232" cy="6467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800" b="1" dirty="0" smtClean="0">
            <a:latin typeface="Arial" pitchFamily="34" charset="0"/>
            <a:cs typeface="Arial" pitchFamily="34" charset="0"/>
          </a:endParaRPr>
        </a:p>
        <a:p xmlns:a="http://schemas.openxmlformats.org/drawingml/2006/main">
          <a:r>
            <a:rPr lang="ru-RU" sz="800" b="1" dirty="0" smtClean="0">
              <a:latin typeface="Arial" pitchFamily="34" charset="0"/>
              <a:cs typeface="Arial" pitchFamily="34" charset="0"/>
            </a:rPr>
            <a:t>Доходы всего: </a:t>
          </a:r>
          <a:r>
            <a:rPr lang="ru-RU" sz="800" b="1" baseline="0" dirty="0" smtClean="0">
              <a:latin typeface="Arial" pitchFamily="34" charset="0"/>
              <a:cs typeface="Arial" pitchFamily="34" charset="0"/>
            </a:rPr>
            <a:t>2020</a:t>
          </a:r>
          <a:r>
            <a:rPr lang="ru-RU" sz="800" b="1" dirty="0" smtClean="0">
              <a:latin typeface="Arial" pitchFamily="34" charset="0"/>
              <a:cs typeface="Arial" pitchFamily="34" charset="0"/>
            </a:rPr>
            <a:t> г – 6 275,9    2021 г – 6 </a:t>
          </a:r>
          <a:r>
            <a:rPr lang="ru-RU" sz="800" b="1" baseline="0" dirty="0" smtClean="0">
              <a:latin typeface="Arial" pitchFamily="34" charset="0"/>
              <a:cs typeface="Arial" pitchFamily="34" charset="0"/>
            </a:rPr>
            <a:t>074,1    2022 г – 7 221,7</a:t>
          </a:r>
          <a:endParaRPr lang="ru-RU" sz="800" b="1" baseline="0" dirty="0">
            <a:latin typeface="Arial" pitchFamily="34" charset="0"/>
            <a:cs typeface="Arial" pitchFamily="34" charset="0"/>
          </a:endParaRPr>
        </a:p>
      </cdr:txBody>
    </cdr:sp>
  </cdr:relSizeAnchor>
</c:userShapes>
</file>

<file path=word/theme/_rels/themeOverride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Ion Boardroom">
    <a:dk1>
      <a:sysClr val="windowText" lastClr="000000"/>
    </a:dk1>
    <a:lt1>
      <a:sysClr val="window" lastClr="FFFFFF"/>
    </a:lt1>
    <a:dk2>
      <a:srgbClr val="3B3059"/>
    </a:dk2>
    <a:lt2>
      <a:srgbClr val="EBEBEB"/>
    </a:lt2>
    <a:accent1>
      <a:srgbClr val="B31166"/>
    </a:accent1>
    <a:accent2>
      <a:srgbClr val="E33D6F"/>
    </a:accent2>
    <a:accent3>
      <a:srgbClr val="E45F3C"/>
    </a:accent3>
    <a:accent4>
      <a:srgbClr val="E9943A"/>
    </a:accent4>
    <a:accent5>
      <a:srgbClr val="9B6BF2"/>
    </a:accent5>
    <a:accent6>
      <a:srgbClr val="D53DD0"/>
    </a:accent6>
    <a:hlink>
      <a:srgbClr val="8F8F8F"/>
    </a:hlink>
    <a:folHlink>
      <a:srgbClr val="A5A5A5"/>
    </a:folHlink>
  </a:clrScheme>
  <a:fontScheme name="Ion Boardroom">
    <a:majorFont>
      <a:latin typeface="Century Gothic"/>
      <a:ea typeface=""/>
      <a:cs typeface=""/>
      <a:font script="Jpan" typeface="メイリオ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メイリオ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Ion Boardroom">
    <a:fillStyleLst>
      <a:solidFill>
        <a:schemeClr val="phClr"/>
      </a:solidFill>
      <a:gradFill rotWithShape="1">
        <a:gsLst>
          <a:gs pos="0">
            <a:schemeClr val="phClr">
              <a:tint val="64000"/>
              <a:lumMod val="118000"/>
            </a:schemeClr>
          </a:gs>
          <a:gs pos="100000">
            <a:schemeClr val="phClr">
              <a:tint val="92000"/>
              <a:alpha val="100000"/>
              <a:lumMod val="110000"/>
            </a:schemeClr>
          </a:gs>
        </a:gsLst>
        <a:lin ang="5400000" scaled="0"/>
      </a:gradFill>
      <a:gradFill rotWithShape="1">
        <a:gsLst>
          <a:gs pos="0">
            <a:schemeClr val="phClr">
              <a:tint val="98000"/>
              <a:lumMod val="114000"/>
            </a:schemeClr>
          </a:gs>
          <a:gs pos="100000">
            <a:schemeClr val="phClr">
              <a:shade val="90000"/>
              <a:lumMod val="84000"/>
            </a:schemeClr>
          </a:gs>
        </a:gsLst>
        <a:lin ang="5400000" scaled="0"/>
      </a:gradFill>
    </a:fillStyleLst>
    <a:lnStyleLst>
      <a:ln w="9525" cap="rnd" cmpd="sng" algn="ctr">
        <a:solidFill>
          <a:schemeClr val="phClr"/>
        </a:solidFill>
        <a:prstDash val="solid"/>
      </a:ln>
      <a:ln w="19050" cap="rnd" cmpd="sng" algn="ctr">
        <a:solidFill>
          <a:schemeClr val="phClr"/>
        </a:solidFill>
        <a:prstDash val="solid"/>
      </a:ln>
      <a:ln w="28575" cap="rnd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38100" dist="25400" dir="5400000" rotWithShape="0">
            <a:srgbClr val="000000">
              <a:alpha val="45000"/>
            </a:srgbClr>
          </a:outerShdw>
        </a:effectLst>
      </a:effectStyle>
      <a:effectStyle>
        <a:effectLst>
          <a:outerShdw blurRad="63500" dist="38100" dir="5400000" rotWithShape="0">
            <a:srgbClr val="000000">
              <a:alpha val="60000"/>
            </a:srgbClr>
          </a:outerShdw>
        </a:effectLst>
        <a:scene3d>
          <a:camera prst="orthographicFront">
            <a:rot lat="0" lon="0" rev="0"/>
          </a:camera>
          <a:lightRig rig="threePt" dir="tl"/>
        </a:scene3d>
        <a:sp3d prstMaterial="plastic">
          <a:bevelT w="0" h="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8000"/>
              <a:hueMod val="124000"/>
              <a:satMod val="148000"/>
              <a:lumMod val="124000"/>
            </a:schemeClr>
          </a:gs>
          <a:gs pos="100000">
            <a:schemeClr val="phClr">
              <a:shade val="76000"/>
              <a:hueMod val="89000"/>
              <a:satMod val="164000"/>
              <a:lumMod val="56000"/>
            </a:schemeClr>
          </a:gs>
        </a:gsLst>
        <a:path path="circle">
          <a:fillToRect l="45000" t="65000" r="125000" b="100000"/>
        </a:path>
      </a:gradFill>
      <a:blipFill rotWithShape="1">
        <a:blip xmlns:r="http://schemas.openxmlformats.org/officeDocument/2006/relationships" r:embed="rId1">
          <a:duotone>
            <a:schemeClr val="phClr">
              <a:shade val="69000"/>
              <a:hueMod val="91000"/>
              <a:satMod val="164000"/>
              <a:lumMod val="74000"/>
            </a:schemeClr>
            <a:schemeClr val="phClr">
              <a:hueMod val="124000"/>
              <a:satMod val="140000"/>
              <a:lumMod val="142000"/>
            </a:schemeClr>
          </a:duotone>
        </a:blip>
        <a:stretch/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BA8D6-7343-4236-BA9C-2ECD9DA6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Bondareva</dc:creator>
  <cp:lastModifiedBy>Зубцова Евгения Александровна</cp:lastModifiedBy>
  <cp:revision>12</cp:revision>
  <cp:lastPrinted>2023-03-29T13:46:00Z</cp:lastPrinted>
  <dcterms:created xsi:type="dcterms:W3CDTF">2023-03-27T12:30:00Z</dcterms:created>
  <dcterms:modified xsi:type="dcterms:W3CDTF">2023-03-30T07:23:00Z</dcterms:modified>
</cp:coreProperties>
</file>