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3C4207">
      <w:pPr>
        <w:spacing w:after="0"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3C4207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3C4207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3C4207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3C4207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3C4207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3C4207" w:rsidRDefault="00531674" w:rsidP="008650F8">
      <w:pPr>
        <w:spacing w:after="0"/>
        <w:ind w:right="140"/>
        <w:rPr>
          <w:rFonts w:ascii="Times New Roman" w:hAnsi="Times New Roman" w:cs="Times New Roman"/>
        </w:rPr>
      </w:pPr>
    </w:p>
    <w:p w:rsidR="003C4207" w:rsidRDefault="00FF67F6" w:rsidP="00FF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и использовании на платной основе парковки </w:t>
      </w:r>
      <w:r w:rsidRPr="00FF67F6">
        <w:rPr>
          <w:rFonts w:ascii="Times New Roman" w:hAnsi="Times New Roman" w:cs="Times New Roman"/>
          <w:b/>
          <w:sz w:val="24"/>
          <w:szCs w:val="24"/>
        </w:rPr>
        <w:t>(пар</w:t>
      </w:r>
      <w:r>
        <w:rPr>
          <w:rFonts w:ascii="Times New Roman" w:hAnsi="Times New Roman" w:cs="Times New Roman"/>
          <w:b/>
          <w:sz w:val="24"/>
          <w:szCs w:val="24"/>
        </w:rPr>
        <w:t xml:space="preserve">ковочных мест) </w:t>
      </w:r>
    </w:p>
    <w:p w:rsidR="00FF67F6" w:rsidRPr="00FF67F6" w:rsidRDefault="00FF67F6" w:rsidP="00FF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автомобильных дорогах общего пользования </w:t>
      </w:r>
      <w:r w:rsidRPr="00FF67F6">
        <w:rPr>
          <w:rFonts w:ascii="Times New Roman" w:hAnsi="Times New Roman" w:cs="Times New Roman"/>
          <w:b/>
          <w:sz w:val="24"/>
          <w:szCs w:val="24"/>
        </w:rPr>
        <w:t>местного значения</w:t>
      </w:r>
    </w:p>
    <w:p w:rsidR="00531674" w:rsidRDefault="001E6378" w:rsidP="00FF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7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72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округа</w:t>
      </w:r>
      <w:r w:rsidRPr="001E6378">
        <w:rPr>
          <w:rFonts w:ascii="Times New Roman" w:hAnsi="Times New Roman" w:cs="Times New Roman"/>
          <w:b/>
          <w:sz w:val="24"/>
          <w:szCs w:val="24"/>
        </w:rPr>
        <w:t xml:space="preserve"> Воскресенск</w:t>
      </w:r>
      <w:r w:rsidR="005D31D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255" w:rsidRPr="003C4207" w:rsidRDefault="00014255" w:rsidP="00427B1B">
      <w:pPr>
        <w:spacing w:after="0" w:line="240" w:lineRule="auto"/>
        <w:rPr>
          <w:rFonts w:ascii="Times New Roman" w:hAnsi="Times New Roman" w:cs="Times New Roman"/>
        </w:rPr>
      </w:pPr>
    </w:p>
    <w:p w:rsidR="00FC66A4" w:rsidRDefault="00FF67F6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FB4D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67F6">
        <w:rPr>
          <w:rFonts w:ascii="Times New Roman" w:hAnsi="Times New Roman" w:cs="Times New Roman"/>
          <w:sz w:val="24"/>
          <w:szCs w:val="24"/>
        </w:rPr>
        <w:t xml:space="preserve">от 08.11.2007 № 257-ФЗ «Об автомобильных дорогах и </w:t>
      </w:r>
      <w:r w:rsidR="004201F4">
        <w:rPr>
          <w:rFonts w:ascii="Times New Roman" w:hAnsi="Times New Roman" w:cs="Times New Roman"/>
          <w:sz w:val="24"/>
          <w:szCs w:val="24"/>
        </w:rPr>
        <w:t xml:space="preserve">о </w:t>
      </w:r>
      <w:r w:rsidRPr="00FF67F6">
        <w:rPr>
          <w:rFonts w:ascii="Times New Roman" w:hAnsi="Times New Roman" w:cs="Times New Roman"/>
          <w:sz w:val="24"/>
          <w:szCs w:val="24"/>
        </w:rPr>
        <w:t>дорожной деятельности в Российской Федерации и о внесении изменений в отдельные законодательные акты Р</w:t>
      </w:r>
      <w:r w:rsidR="00B03CC2">
        <w:rPr>
          <w:rFonts w:ascii="Times New Roman" w:hAnsi="Times New Roman" w:cs="Times New Roman"/>
          <w:sz w:val="24"/>
          <w:szCs w:val="24"/>
        </w:rPr>
        <w:t>оссийской Федерации», Федеральны</w:t>
      </w:r>
      <w:r w:rsidRPr="00FF67F6">
        <w:rPr>
          <w:rFonts w:ascii="Times New Roman" w:hAnsi="Times New Roman" w:cs="Times New Roman"/>
          <w:sz w:val="24"/>
          <w:szCs w:val="24"/>
        </w:rPr>
        <w:t>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24.11.1995 № 181-ФЗ «О социальной защите инвалидов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Законом Московской области от 13.06.2019 № 109/2019-ОЗ «Об организации дорожного движения в Московской области и о внесении изменения в Закон Московской о</w:t>
      </w:r>
      <w:r w:rsidR="00B03CC2">
        <w:rPr>
          <w:rFonts w:ascii="Times New Roman" w:hAnsi="Times New Roman" w:cs="Times New Roman"/>
          <w:sz w:val="24"/>
          <w:szCs w:val="24"/>
        </w:rPr>
        <w:t xml:space="preserve">бласти «О </w:t>
      </w:r>
      <w:r w:rsidR="004201F4">
        <w:rPr>
          <w:rFonts w:ascii="Times New Roman" w:hAnsi="Times New Roman" w:cs="Times New Roman"/>
          <w:sz w:val="24"/>
          <w:szCs w:val="24"/>
        </w:rPr>
        <w:t>временных</w:t>
      </w:r>
      <w:r w:rsidR="00B03CC2">
        <w:rPr>
          <w:rFonts w:ascii="Times New Roman" w:hAnsi="Times New Roman" w:cs="Times New Roman"/>
          <w:sz w:val="24"/>
          <w:szCs w:val="24"/>
        </w:rPr>
        <w:t xml:space="preserve"> ограничении</w:t>
      </w:r>
      <w:r w:rsidRPr="00FF67F6">
        <w:rPr>
          <w:rFonts w:ascii="Times New Roman" w:hAnsi="Times New Roman" w:cs="Times New Roman"/>
          <w:sz w:val="24"/>
          <w:szCs w:val="24"/>
        </w:rPr>
        <w:t xml:space="preserve"> или прекращении движения транспортных средств по автомобильным дорогам на территории Московской области», Постановлением Правительства Московской области от 24.09.2024 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</w:t>
      </w:r>
    </w:p>
    <w:p w:rsidR="00FF67F6" w:rsidRPr="003C4207" w:rsidRDefault="00FF67F6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Pr="003C4207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67F6" w:rsidRPr="00FF67F6" w:rsidRDefault="006863B9" w:rsidP="00FF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67F6" w:rsidRPr="00FF67F6">
        <w:rPr>
          <w:rFonts w:ascii="Times New Roman" w:hAnsi="Times New Roman" w:cs="Times New Roman"/>
          <w:sz w:val="24"/>
          <w:szCs w:val="24"/>
        </w:rPr>
        <w:t>Создать и использовать на платной основе парковки (парковочные места) на автомобильных дорогах общего пользования местного значения городского округа</w:t>
      </w:r>
      <w:r w:rsidR="00FF67F6">
        <w:rPr>
          <w:rFonts w:ascii="Times New Roman" w:hAnsi="Times New Roman" w:cs="Times New Roman"/>
          <w:sz w:val="24"/>
          <w:szCs w:val="24"/>
        </w:rPr>
        <w:t xml:space="preserve"> Воскресенск Московской области</w:t>
      </w:r>
      <w:r w:rsidR="00FF67F6" w:rsidRPr="00FF67F6">
        <w:rPr>
          <w:rFonts w:ascii="Times New Roman" w:hAnsi="Times New Roman" w:cs="Times New Roman"/>
          <w:sz w:val="24"/>
          <w:szCs w:val="24"/>
        </w:rPr>
        <w:t>:</w:t>
      </w:r>
    </w:p>
    <w:p w:rsidR="00FF67F6" w:rsidRPr="00FF67F6" w:rsidRDefault="00FF67F6" w:rsidP="00FF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F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пл. Ленина, г. Воскресенск</w:t>
      </w:r>
      <w:r w:rsidR="00FB4D89">
        <w:rPr>
          <w:rFonts w:ascii="Times New Roman" w:hAnsi="Times New Roman" w:cs="Times New Roman"/>
          <w:sz w:val="24"/>
          <w:szCs w:val="24"/>
        </w:rPr>
        <w:t>;</w:t>
      </w:r>
      <w:r w:rsidR="00C4661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Pr="00FF67F6">
        <w:rPr>
          <w:rFonts w:ascii="Times New Roman" w:hAnsi="Times New Roman" w:cs="Times New Roman"/>
          <w:sz w:val="24"/>
          <w:szCs w:val="24"/>
        </w:rPr>
        <w:t xml:space="preserve"> 1</w:t>
      </w:r>
      <w:r w:rsidR="00A7236B">
        <w:rPr>
          <w:rFonts w:ascii="Times New Roman" w:hAnsi="Times New Roman" w:cs="Times New Roman"/>
          <w:sz w:val="24"/>
          <w:szCs w:val="24"/>
        </w:rPr>
        <w:t>.</w:t>
      </w:r>
      <w:r w:rsidR="00FB4D89">
        <w:rPr>
          <w:rFonts w:ascii="Times New Roman" w:hAnsi="Times New Roman" w:cs="Times New Roman"/>
          <w:sz w:val="24"/>
          <w:szCs w:val="24"/>
        </w:rPr>
        <w:t>)</w:t>
      </w:r>
    </w:p>
    <w:p w:rsidR="00FF67F6" w:rsidRPr="00FF67F6" w:rsidRDefault="00FF67F6" w:rsidP="00FF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F6">
        <w:rPr>
          <w:rFonts w:ascii="Times New Roman" w:hAnsi="Times New Roman" w:cs="Times New Roman"/>
          <w:sz w:val="24"/>
          <w:szCs w:val="24"/>
        </w:rPr>
        <w:t xml:space="preserve">- ул. </w:t>
      </w:r>
      <w:r>
        <w:rPr>
          <w:rFonts w:ascii="Times New Roman" w:hAnsi="Times New Roman" w:cs="Times New Roman"/>
          <w:sz w:val="24"/>
          <w:szCs w:val="24"/>
        </w:rPr>
        <w:t>Кагана, г. Воскресенск</w:t>
      </w:r>
      <w:r w:rsidR="00FB4D89">
        <w:rPr>
          <w:rFonts w:ascii="Times New Roman" w:hAnsi="Times New Roman" w:cs="Times New Roman"/>
          <w:sz w:val="24"/>
          <w:szCs w:val="24"/>
        </w:rPr>
        <w:t>;</w:t>
      </w:r>
      <w:r w:rsidR="00C4661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FF67F6">
        <w:rPr>
          <w:rFonts w:ascii="Times New Roman" w:hAnsi="Times New Roman" w:cs="Times New Roman"/>
          <w:sz w:val="24"/>
          <w:szCs w:val="24"/>
        </w:rPr>
        <w:t>2</w:t>
      </w:r>
      <w:r w:rsidR="00A7236B">
        <w:rPr>
          <w:rFonts w:ascii="Times New Roman" w:hAnsi="Times New Roman" w:cs="Times New Roman"/>
          <w:sz w:val="24"/>
          <w:szCs w:val="24"/>
        </w:rPr>
        <w:t>.</w:t>
      </w:r>
      <w:r w:rsidR="00FB4D89">
        <w:rPr>
          <w:rFonts w:ascii="Times New Roman" w:hAnsi="Times New Roman" w:cs="Times New Roman"/>
          <w:sz w:val="24"/>
          <w:szCs w:val="24"/>
        </w:rPr>
        <w:t>)</w:t>
      </w:r>
    </w:p>
    <w:p w:rsidR="006A3E95" w:rsidRDefault="00B5241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E95">
        <w:rPr>
          <w:rFonts w:ascii="Times New Roman" w:hAnsi="Times New Roman" w:cs="Times New Roman"/>
          <w:sz w:val="24"/>
          <w:szCs w:val="24"/>
        </w:rPr>
        <w:t xml:space="preserve">. </w:t>
      </w:r>
      <w:r w:rsidR="006A3E95"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="006A3E95"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014255" w:rsidRPr="00CD0BF0" w:rsidRDefault="00B52415" w:rsidP="00CD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0B17A1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8B0347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r w:rsidR="000B17A1">
        <w:rPr>
          <w:rFonts w:ascii="Times New Roman" w:hAnsi="Times New Roman" w:cs="Times New Roman"/>
          <w:sz w:val="24"/>
          <w:szCs w:val="24"/>
        </w:rPr>
        <w:t>Жукову О.С</w:t>
      </w:r>
      <w:r w:rsidR="008B0347">
        <w:rPr>
          <w:rFonts w:ascii="Times New Roman" w:hAnsi="Times New Roman" w:cs="Times New Roman"/>
          <w:sz w:val="24"/>
          <w:szCs w:val="24"/>
        </w:rPr>
        <w:t>.</w:t>
      </w:r>
    </w:p>
    <w:p w:rsidR="00CD0BF0" w:rsidRDefault="00CD0BF0" w:rsidP="00C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15" w:rsidRDefault="00802CBC" w:rsidP="00C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 w:rsidR="00CD0BF0">
        <w:rPr>
          <w:rFonts w:ascii="Times New Roman" w:hAnsi="Times New Roman" w:cs="Times New Roman"/>
          <w:sz w:val="24"/>
          <w:szCs w:val="24"/>
        </w:rPr>
        <w:t>А.В. Малкин</w:t>
      </w:r>
    </w:p>
    <w:p w:rsidR="00B52415" w:rsidRDefault="00B52415" w:rsidP="00C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15" w:rsidRDefault="00B52415" w:rsidP="00CD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2415" w:rsidSect="00B52415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B5241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5241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</w:t>
      </w:r>
      <w:r w:rsidRPr="00FF67F6">
        <w:rPr>
          <w:rFonts w:ascii="Times New Roman" w:eastAsia="Calibri" w:hAnsi="Times New Roman" w:cs="Times New Roman"/>
          <w:sz w:val="24"/>
          <w:szCs w:val="24"/>
        </w:rPr>
        <w:t>дминистрации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5241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67F6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Воскресенск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FF67F6">
        <w:rPr>
          <w:rFonts w:ascii="Times New Roman" w:eastAsia="Calibri" w:hAnsi="Times New Roman" w:cs="Times New Roman"/>
          <w:sz w:val="24"/>
          <w:szCs w:val="24"/>
        </w:rPr>
        <w:t>_______________№___________</w:t>
      </w:r>
    </w:p>
    <w:p w:rsidR="0060388C" w:rsidRPr="00FF67F6" w:rsidRDefault="0060388C" w:rsidP="0060388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388C" w:rsidRPr="00FF67F6" w:rsidRDefault="0060388C" w:rsidP="0060388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Местоположение парковки – </w:t>
      </w:r>
      <w:r w:rsidRPr="00C46617">
        <w:rPr>
          <w:rFonts w:ascii="Times New Roman" w:hAnsi="Times New Roman" w:cs="Times New Roman"/>
          <w:sz w:val="24"/>
          <w:szCs w:val="24"/>
        </w:rPr>
        <w:t>пл.</w:t>
      </w:r>
      <w:r>
        <w:rPr>
          <w:rFonts w:ascii="Times New Roman" w:hAnsi="Times New Roman" w:cs="Times New Roman"/>
          <w:sz w:val="24"/>
          <w:szCs w:val="24"/>
        </w:rPr>
        <w:t xml:space="preserve"> Ленина, г. Воскресенск</w:t>
      </w:r>
    </w:p>
    <w:p w:rsidR="0060388C" w:rsidRPr="00FF67F6" w:rsidRDefault="0060388C" w:rsidP="0060388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29"/>
        <w:gridCol w:w="2539"/>
        <w:gridCol w:w="1455"/>
        <w:gridCol w:w="1401"/>
        <w:gridCol w:w="973"/>
        <w:gridCol w:w="1170"/>
        <w:gridCol w:w="1128"/>
      </w:tblGrid>
      <w:tr w:rsidR="0060388C" w:rsidRPr="00FF67F6" w:rsidTr="00674312">
        <w:tc>
          <w:tcPr>
            <w:tcW w:w="152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53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Адрес парковки</w:t>
            </w:r>
          </w:p>
        </w:tc>
        <w:tc>
          <w:tcPr>
            <w:tcW w:w="1455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Начало зоны</w:t>
            </w:r>
          </w:p>
        </w:tc>
        <w:tc>
          <w:tcPr>
            <w:tcW w:w="1401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Конец зоны</w:t>
            </w:r>
          </w:p>
        </w:tc>
        <w:tc>
          <w:tcPr>
            <w:tcW w:w="973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Номер</w:t>
            </w:r>
          </w:p>
        </w:tc>
        <w:tc>
          <w:tcPr>
            <w:tcW w:w="2298" w:type="dxa"/>
            <w:gridSpan w:val="2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Стоимость руб.</w:t>
            </w:r>
            <w:r w:rsidRPr="00FF67F6">
              <w:rPr>
                <w:rFonts w:eastAsia="Calibri" w:cs="Times New Roman"/>
                <w:sz w:val="24"/>
                <w:szCs w:val="24"/>
              </w:rPr>
              <w:t xml:space="preserve"> час</w:t>
            </w: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кат. тс</w:t>
            </w:r>
          </w:p>
        </w:tc>
        <w:tc>
          <w:tcPr>
            <w:tcW w:w="1128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кат. тс</w:t>
            </w:r>
          </w:p>
        </w:tc>
      </w:tr>
      <w:tr w:rsidR="0060388C" w:rsidRPr="00FF67F6" w:rsidTr="00674312">
        <w:tc>
          <w:tcPr>
            <w:tcW w:w="152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2539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пл. Ленина,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55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55.322721, 38.672953</w:t>
            </w:r>
          </w:p>
        </w:tc>
        <w:tc>
          <w:tcPr>
            <w:tcW w:w="140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55.322269, 38.673004</w:t>
            </w:r>
          </w:p>
        </w:tc>
        <w:tc>
          <w:tcPr>
            <w:tcW w:w="973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</w:t>
            </w:r>
            <w:r w:rsidRPr="00FF67F6">
              <w:rPr>
                <w:rFonts w:eastAsia="Calibri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пл. Ленина,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55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55.322269, 38.673004</w:t>
            </w:r>
          </w:p>
        </w:tc>
        <w:tc>
          <w:tcPr>
            <w:tcW w:w="140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55.322472, 38.673806</w:t>
            </w:r>
          </w:p>
        </w:tc>
        <w:tc>
          <w:tcPr>
            <w:tcW w:w="97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пл. Ленина,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55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55.322472, 38.673806</w:t>
            </w:r>
          </w:p>
        </w:tc>
        <w:tc>
          <w:tcPr>
            <w:tcW w:w="140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55.322740, 38.673797</w:t>
            </w:r>
          </w:p>
        </w:tc>
        <w:tc>
          <w:tcPr>
            <w:tcW w:w="97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пл. Ленина,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55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55.322740, 38.673797</w:t>
            </w:r>
          </w:p>
        </w:tc>
        <w:tc>
          <w:tcPr>
            <w:tcW w:w="140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55.322721, 38.672953</w:t>
            </w:r>
          </w:p>
        </w:tc>
        <w:tc>
          <w:tcPr>
            <w:tcW w:w="97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пл. Ленина,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от пересечения с </w:t>
            </w:r>
          </w:p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до пересечения 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ул.Лермонтова</w:t>
            </w:r>
            <w:proofErr w:type="spellEnd"/>
          </w:p>
        </w:tc>
        <w:tc>
          <w:tcPr>
            <w:tcW w:w="1455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55.323245, 38.672790</w:t>
            </w:r>
          </w:p>
        </w:tc>
        <w:tc>
          <w:tcPr>
            <w:tcW w:w="140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08E4">
              <w:rPr>
                <w:rFonts w:eastAsia="Calibri" w:cs="Times New Roman"/>
                <w:sz w:val="24"/>
                <w:szCs w:val="24"/>
              </w:rPr>
              <w:t>55.322261, 38.672896</w:t>
            </w:r>
          </w:p>
        </w:tc>
        <w:tc>
          <w:tcPr>
            <w:tcW w:w="97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0388C" w:rsidRPr="00FF67F6" w:rsidRDefault="0060388C" w:rsidP="0060388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1. Номера парковок – 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1414B2">
        <w:rPr>
          <w:rFonts w:ascii="Times New Roman" w:eastAsia="Calibri" w:hAnsi="Times New Roman" w:cs="Times New Roman"/>
          <w:sz w:val="24"/>
          <w:szCs w:val="24"/>
        </w:rPr>
        <w:t>201.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2. Мероприятия по обустройству парковки – нанесение горизонтальной дорожной разметки, установка дорожных знаков в соответствии с проектом организации дорожного движения.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3. Режим работы парковки – 24 часа.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4. Дата начала и (или) прекращения использования парковки или период, на который приостанавливается использование парковки – с </w:t>
      </w:r>
      <w:r>
        <w:rPr>
          <w:rFonts w:ascii="Times New Roman" w:eastAsia="Calibri" w:hAnsi="Times New Roman" w:cs="Times New Roman"/>
          <w:sz w:val="24"/>
          <w:szCs w:val="24"/>
        </w:rPr>
        <w:t>30.09</w:t>
      </w:r>
      <w:r w:rsidRPr="00745D5F">
        <w:rPr>
          <w:rFonts w:ascii="Times New Roman" w:eastAsia="Calibri" w:hAnsi="Times New Roman" w:cs="Times New Roman"/>
          <w:sz w:val="24"/>
          <w:szCs w:val="24"/>
        </w:rPr>
        <w:t>.2025.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5. Тип парковочной зоны – административная.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6. Размер платы за пользование парковочным местом платной парковки –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области, утверждённой Постановлением Правительства М</w:t>
      </w:r>
      <w:r>
        <w:rPr>
          <w:rFonts w:ascii="Times New Roman" w:eastAsia="Calibri" w:hAnsi="Times New Roman" w:cs="Times New Roman"/>
          <w:sz w:val="24"/>
          <w:szCs w:val="24"/>
        </w:rPr>
        <w:t>осковской области от 24.09.2024</w:t>
      </w: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 № 1045-ПП «Об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установлении её максимального размера».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Период времени, когда платная парковка (парковочное место) используется бесплатно: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каждое воскр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есенье с 00 часов 00 минут до 24 часов 00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минут;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по нерабочим праздничным дням, установленным Трудовым кодексом Российской Федерации (далее –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B52415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остановки транспортного средства на период не более 10 минут.</w:t>
      </w:r>
    </w:p>
    <w:p w:rsidR="0060388C" w:rsidRDefault="0060388C" w:rsidP="0060388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415" w:rsidRDefault="00B52415" w:rsidP="0060388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Приложение 2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постановлению А</w:t>
      </w:r>
      <w:r w:rsidRPr="00FF67F6">
        <w:rPr>
          <w:rFonts w:ascii="Times New Roman" w:eastAsia="Calibri" w:hAnsi="Times New Roman" w:cs="Times New Roman"/>
          <w:sz w:val="24"/>
          <w:szCs w:val="24"/>
        </w:rPr>
        <w:t>дминистрации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F67F6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Воскресенск</w:t>
      </w:r>
    </w:p>
    <w:p w:rsidR="0060388C" w:rsidRPr="00FF67F6" w:rsidRDefault="0060388C" w:rsidP="006038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F67F6">
        <w:rPr>
          <w:rFonts w:ascii="Times New Roman" w:eastAsia="Calibri" w:hAnsi="Times New Roman" w:cs="Times New Roman"/>
          <w:sz w:val="24"/>
          <w:szCs w:val="24"/>
        </w:rPr>
        <w:t>_______________№___________</w:t>
      </w:r>
    </w:p>
    <w:p w:rsidR="0060388C" w:rsidRDefault="0060388C" w:rsidP="0060388C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388C" w:rsidRPr="00FF67F6" w:rsidRDefault="0060388C" w:rsidP="0060388C">
      <w:pPr>
        <w:spacing w:after="0" w:line="240" w:lineRule="auto"/>
        <w:ind w:firstLine="5812"/>
        <w:jc w:val="right"/>
        <w:rPr>
          <w:rFonts w:ascii="Arial" w:eastAsia="Calibri" w:hAnsi="Arial" w:cs="Arial"/>
          <w:sz w:val="24"/>
          <w:szCs w:val="24"/>
        </w:rPr>
      </w:pPr>
    </w:p>
    <w:p w:rsidR="0060388C" w:rsidRPr="00FF67F6" w:rsidRDefault="0060388C" w:rsidP="0060388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Местоположение парковки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r w:rsidRPr="00C466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Воскресенск</w:t>
      </w:r>
    </w:p>
    <w:p w:rsidR="0060388C" w:rsidRPr="00FF67F6" w:rsidRDefault="0060388C" w:rsidP="0060388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29"/>
        <w:gridCol w:w="2443"/>
        <w:gridCol w:w="1486"/>
        <w:gridCol w:w="1421"/>
        <w:gridCol w:w="989"/>
        <w:gridCol w:w="1199"/>
        <w:gridCol w:w="1128"/>
      </w:tblGrid>
      <w:tr w:rsidR="0060388C" w:rsidRPr="00FF67F6" w:rsidTr="00674312">
        <w:tc>
          <w:tcPr>
            <w:tcW w:w="152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443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Адрес парковки</w:t>
            </w:r>
          </w:p>
        </w:tc>
        <w:tc>
          <w:tcPr>
            <w:tcW w:w="1486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Начало зоны</w:t>
            </w:r>
          </w:p>
        </w:tc>
        <w:tc>
          <w:tcPr>
            <w:tcW w:w="1421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Конец зоны</w:t>
            </w:r>
          </w:p>
        </w:tc>
        <w:tc>
          <w:tcPr>
            <w:tcW w:w="98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>Номер</w:t>
            </w:r>
          </w:p>
        </w:tc>
        <w:tc>
          <w:tcPr>
            <w:tcW w:w="2327" w:type="dxa"/>
            <w:gridSpan w:val="2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Стоимость руб. </w:t>
            </w:r>
            <w:r w:rsidRPr="00FF67F6">
              <w:rPr>
                <w:rFonts w:eastAsia="Calibri" w:cs="Times New Roman"/>
                <w:sz w:val="24"/>
                <w:szCs w:val="24"/>
              </w:rPr>
              <w:t>час</w:t>
            </w: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кат. тс</w:t>
            </w:r>
          </w:p>
        </w:tc>
        <w:tc>
          <w:tcPr>
            <w:tcW w:w="1128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кат. тс</w:t>
            </w:r>
          </w:p>
        </w:tc>
      </w:tr>
      <w:tr w:rsidR="0060388C" w:rsidRPr="00FF67F6" w:rsidTr="00674312">
        <w:tc>
          <w:tcPr>
            <w:tcW w:w="152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2443" w:type="dxa"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67F6">
              <w:rPr>
                <w:rFonts w:eastAsia="Calibri" w:cs="Times New Roman"/>
                <w:sz w:val="24"/>
                <w:szCs w:val="24"/>
              </w:rPr>
              <w:t xml:space="preserve">ул. </w:t>
            </w:r>
            <w:r>
              <w:rPr>
                <w:rFonts w:eastAsia="Calibri" w:cs="Times New Roman"/>
                <w:sz w:val="24"/>
                <w:szCs w:val="24"/>
              </w:rPr>
              <w:t xml:space="preserve">Кагана (правая сторона) от пересечения с </w:t>
            </w:r>
          </w:p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ул.Зелинского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до пересечения с </w:t>
            </w:r>
          </w:p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86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55.313321, 38.653575</w:t>
            </w:r>
          </w:p>
        </w:tc>
        <w:tc>
          <w:tcPr>
            <w:tcW w:w="142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55.310443, 38.646185</w:t>
            </w:r>
          </w:p>
        </w:tc>
        <w:tc>
          <w:tcPr>
            <w:tcW w:w="98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</w:t>
            </w:r>
            <w:r w:rsidRPr="00FF67F6">
              <w:rPr>
                <w:rFonts w:eastAsia="Calibri" w:cs="Times New Roman"/>
                <w:sz w:val="24"/>
                <w:szCs w:val="24"/>
              </w:rPr>
              <w:t>202</w:t>
            </w:r>
          </w:p>
        </w:tc>
        <w:tc>
          <w:tcPr>
            <w:tcW w:w="1199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vMerge w:val="restart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ул. Кагана вблизи ТЦ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Новлянский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486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55.311930, 38.650352</w:t>
            </w:r>
          </w:p>
        </w:tc>
        <w:tc>
          <w:tcPr>
            <w:tcW w:w="142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55.312261, 38.651231</w:t>
            </w:r>
          </w:p>
        </w:tc>
        <w:tc>
          <w:tcPr>
            <w:tcW w:w="989" w:type="dxa"/>
            <w:vMerge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0388C" w:rsidRPr="00FF67F6" w:rsidTr="00674312">
        <w:tc>
          <w:tcPr>
            <w:tcW w:w="1529" w:type="dxa"/>
            <w:vMerge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ул. Кагана вблизи ТЦ «Атриум»,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г.Воскресенск</w:t>
            </w:r>
            <w:proofErr w:type="spellEnd"/>
          </w:p>
        </w:tc>
        <w:tc>
          <w:tcPr>
            <w:tcW w:w="1486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55.312339, 38.651494</w:t>
            </w:r>
          </w:p>
        </w:tc>
        <w:tc>
          <w:tcPr>
            <w:tcW w:w="1421" w:type="dxa"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33A8D">
              <w:rPr>
                <w:rFonts w:eastAsia="Calibri" w:cs="Times New Roman"/>
                <w:sz w:val="24"/>
                <w:szCs w:val="24"/>
              </w:rPr>
              <w:t>55.312541, 38.651957</w:t>
            </w:r>
          </w:p>
        </w:tc>
        <w:tc>
          <w:tcPr>
            <w:tcW w:w="989" w:type="dxa"/>
            <w:vMerge/>
          </w:tcPr>
          <w:p w:rsidR="0060388C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60388C" w:rsidRPr="00FF67F6" w:rsidRDefault="0060388C" w:rsidP="0067431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0388C" w:rsidRPr="00FF67F6" w:rsidRDefault="0060388C" w:rsidP="0060388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88C" w:rsidRPr="00633A8D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1. Номера парковки – 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1414B2">
        <w:rPr>
          <w:rFonts w:ascii="Times New Roman" w:eastAsia="Calibri" w:hAnsi="Times New Roman" w:cs="Times New Roman"/>
          <w:sz w:val="24"/>
          <w:szCs w:val="24"/>
        </w:rPr>
        <w:t>202.</w:t>
      </w: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2. Мероприятия по обустройству парковки – нанесение горизонтальной дорожной разметки, установка дорожных знаков в соответствии с проектом организации дорожного движения.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3. Режим работы парковки – 24 часа.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4. Дата начала и (или) прекращения использования парковки или период, на который приостанавливается использование парковки – </w:t>
      </w:r>
      <w:r>
        <w:rPr>
          <w:rFonts w:ascii="Times New Roman" w:eastAsia="Calibri" w:hAnsi="Times New Roman" w:cs="Times New Roman"/>
          <w:sz w:val="24"/>
          <w:szCs w:val="24"/>
        </w:rPr>
        <w:t>с 30.09</w:t>
      </w:r>
      <w:r w:rsidRPr="00745D5F">
        <w:rPr>
          <w:rFonts w:ascii="Times New Roman" w:eastAsia="Calibri" w:hAnsi="Times New Roman" w:cs="Times New Roman"/>
          <w:sz w:val="24"/>
          <w:szCs w:val="24"/>
        </w:rPr>
        <w:t>.2025.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5. Тип парковочной зоны – административная.</w:t>
      </w:r>
    </w:p>
    <w:p w:rsidR="0060388C" w:rsidRPr="00FF67F6" w:rsidRDefault="0060388C" w:rsidP="00603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F6">
        <w:rPr>
          <w:rFonts w:ascii="Times New Roman" w:eastAsia="Calibri" w:hAnsi="Times New Roman" w:cs="Times New Roman"/>
          <w:sz w:val="24"/>
          <w:szCs w:val="24"/>
        </w:rPr>
        <w:t>6. Размер платы за пользование парковочным местом платной парковки –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области, утверждённой Постановлением Правительства М</w:t>
      </w:r>
      <w:r>
        <w:rPr>
          <w:rFonts w:ascii="Times New Roman" w:eastAsia="Calibri" w:hAnsi="Times New Roman" w:cs="Times New Roman"/>
          <w:sz w:val="24"/>
          <w:szCs w:val="24"/>
        </w:rPr>
        <w:t>осковской области от 24.09.2024</w:t>
      </w:r>
      <w:r w:rsidRPr="00FF67F6">
        <w:rPr>
          <w:rFonts w:ascii="Times New Roman" w:eastAsia="Calibri" w:hAnsi="Times New Roman" w:cs="Times New Roman"/>
          <w:sz w:val="24"/>
          <w:szCs w:val="24"/>
        </w:rPr>
        <w:t xml:space="preserve"> № 1045-ПП «Об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установлении её максимального размера».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6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Период времени, когда платная парковка (парковочное место) используется бесплатно: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каждое воскр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есенье с 00 часов 00 минут до 24 часов 00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минут;</w:t>
      </w:r>
    </w:p>
    <w:p w:rsidR="00B52415" w:rsidRPr="002C168D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по нерабочим праздничным дням, установленным Трудовым кодексом Российской Федерации (далее –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B52415" w:rsidRDefault="00B52415" w:rsidP="00B52415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2C168D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остановки транспортного средства на период не более 10 минут.</w:t>
      </w:r>
    </w:p>
    <w:sectPr w:rsidR="00B52415" w:rsidSect="00B5241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08E4"/>
    <w:rsid w:val="00014255"/>
    <w:rsid w:val="00037942"/>
    <w:rsid w:val="00050821"/>
    <w:rsid w:val="0007361D"/>
    <w:rsid w:val="000B17A1"/>
    <w:rsid w:val="000E3D56"/>
    <w:rsid w:val="00115BA9"/>
    <w:rsid w:val="00115D86"/>
    <w:rsid w:val="00117C03"/>
    <w:rsid w:val="001247C2"/>
    <w:rsid w:val="001414B2"/>
    <w:rsid w:val="0014482B"/>
    <w:rsid w:val="0017669C"/>
    <w:rsid w:val="001D0014"/>
    <w:rsid w:val="001E6378"/>
    <w:rsid w:val="001F156C"/>
    <w:rsid w:val="001F53E9"/>
    <w:rsid w:val="00214D18"/>
    <w:rsid w:val="00227B26"/>
    <w:rsid w:val="00270E07"/>
    <w:rsid w:val="002A0E63"/>
    <w:rsid w:val="003261F9"/>
    <w:rsid w:val="003C4207"/>
    <w:rsid w:val="0040653F"/>
    <w:rsid w:val="0041363A"/>
    <w:rsid w:val="004201F4"/>
    <w:rsid w:val="00427B1B"/>
    <w:rsid w:val="00481D1C"/>
    <w:rsid w:val="004D630B"/>
    <w:rsid w:val="005079C5"/>
    <w:rsid w:val="00531674"/>
    <w:rsid w:val="005C0328"/>
    <w:rsid w:val="005D31DD"/>
    <w:rsid w:val="005D4607"/>
    <w:rsid w:val="005E7D05"/>
    <w:rsid w:val="005F404B"/>
    <w:rsid w:val="0060388C"/>
    <w:rsid w:val="00613846"/>
    <w:rsid w:val="00622179"/>
    <w:rsid w:val="00633A8D"/>
    <w:rsid w:val="00640C1A"/>
    <w:rsid w:val="0066597C"/>
    <w:rsid w:val="006863B9"/>
    <w:rsid w:val="006A3E95"/>
    <w:rsid w:val="00705577"/>
    <w:rsid w:val="00745D5F"/>
    <w:rsid w:val="00775192"/>
    <w:rsid w:val="00802CBC"/>
    <w:rsid w:val="00811368"/>
    <w:rsid w:val="00816F79"/>
    <w:rsid w:val="008650F8"/>
    <w:rsid w:val="008816DA"/>
    <w:rsid w:val="008916FB"/>
    <w:rsid w:val="008919D2"/>
    <w:rsid w:val="008A19AC"/>
    <w:rsid w:val="008B0347"/>
    <w:rsid w:val="008E2A9E"/>
    <w:rsid w:val="00912717"/>
    <w:rsid w:val="00926566"/>
    <w:rsid w:val="0093442D"/>
    <w:rsid w:val="00952403"/>
    <w:rsid w:val="00966D28"/>
    <w:rsid w:val="00972466"/>
    <w:rsid w:val="00990659"/>
    <w:rsid w:val="009A0D82"/>
    <w:rsid w:val="009C49B1"/>
    <w:rsid w:val="009C7DAF"/>
    <w:rsid w:val="00A0402F"/>
    <w:rsid w:val="00A300FF"/>
    <w:rsid w:val="00A33ABA"/>
    <w:rsid w:val="00A7236B"/>
    <w:rsid w:val="00AF6759"/>
    <w:rsid w:val="00B03CC2"/>
    <w:rsid w:val="00B064C4"/>
    <w:rsid w:val="00B1155A"/>
    <w:rsid w:val="00B23D45"/>
    <w:rsid w:val="00B24412"/>
    <w:rsid w:val="00B52415"/>
    <w:rsid w:val="00B5294E"/>
    <w:rsid w:val="00B61C14"/>
    <w:rsid w:val="00B63A86"/>
    <w:rsid w:val="00B8077E"/>
    <w:rsid w:val="00B87247"/>
    <w:rsid w:val="00B96E4E"/>
    <w:rsid w:val="00BA4146"/>
    <w:rsid w:val="00BB4C6F"/>
    <w:rsid w:val="00C1027C"/>
    <w:rsid w:val="00C111DC"/>
    <w:rsid w:val="00C2409A"/>
    <w:rsid w:val="00C40EEB"/>
    <w:rsid w:val="00C46617"/>
    <w:rsid w:val="00C64258"/>
    <w:rsid w:val="00C73F25"/>
    <w:rsid w:val="00C81C94"/>
    <w:rsid w:val="00C83DC2"/>
    <w:rsid w:val="00CA4656"/>
    <w:rsid w:val="00CA64FE"/>
    <w:rsid w:val="00CD0BF0"/>
    <w:rsid w:val="00CD68C0"/>
    <w:rsid w:val="00D00B64"/>
    <w:rsid w:val="00D26648"/>
    <w:rsid w:val="00D36358"/>
    <w:rsid w:val="00D741A3"/>
    <w:rsid w:val="00D9216F"/>
    <w:rsid w:val="00DD357C"/>
    <w:rsid w:val="00E00CBC"/>
    <w:rsid w:val="00E7595A"/>
    <w:rsid w:val="00EB7B4C"/>
    <w:rsid w:val="00F251BA"/>
    <w:rsid w:val="00F434B5"/>
    <w:rsid w:val="00F553F8"/>
    <w:rsid w:val="00F73430"/>
    <w:rsid w:val="00F815C1"/>
    <w:rsid w:val="00F942B9"/>
    <w:rsid w:val="00FB4D89"/>
    <w:rsid w:val="00FB58A7"/>
    <w:rsid w:val="00FC3A96"/>
    <w:rsid w:val="00FC66A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F93A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F67F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F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89</cp:revision>
  <cp:lastPrinted>2025-08-12T08:40:00Z</cp:lastPrinted>
  <dcterms:created xsi:type="dcterms:W3CDTF">2019-10-25T12:19:00Z</dcterms:created>
  <dcterms:modified xsi:type="dcterms:W3CDTF">2025-08-19T13:25:00Z</dcterms:modified>
</cp:coreProperties>
</file>