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B41688" w:rsidRDefault="00746EF0" w:rsidP="00E06FE2">
      <w:pPr>
        <w:pStyle w:val="ac"/>
        <w:rPr>
          <w:sz w:val="24"/>
          <w:szCs w:val="24"/>
        </w:rPr>
      </w:pPr>
      <w:bookmarkStart w:id="0" w:name="_GoBack"/>
      <w:bookmarkEnd w:id="0"/>
      <w:r w:rsidRPr="00B41688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B41688" w:rsidRDefault="00746EF0" w:rsidP="00746EF0">
      <w:pPr>
        <w:pStyle w:val="ac"/>
        <w:rPr>
          <w:sz w:val="16"/>
          <w:szCs w:val="16"/>
        </w:rPr>
      </w:pPr>
    </w:p>
    <w:p w:rsidR="0018277E" w:rsidRPr="00B41688" w:rsidRDefault="00746EF0" w:rsidP="0018277E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:rsidR="0018277E" w:rsidRPr="00B41688" w:rsidRDefault="0018277E" w:rsidP="0018277E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:rsidR="0018277E" w:rsidRPr="00B41688" w:rsidRDefault="0018277E" w:rsidP="0018277E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:rsidR="0018277E" w:rsidRPr="00B41688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Pr="00B41688" w:rsidRDefault="00A61240" w:rsidP="0018277E">
      <w:pPr>
        <w:pStyle w:val="ac"/>
        <w:spacing w:line="360" w:lineRule="auto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:rsidR="0018277E" w:rsidRPr="00B41688" w:rsidRDefault="0018277E" w:rsidP="0018277E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B41688">
        <w:rPr>
          <w:rFonts w:ascii="Times New Roman" w:hAnsi="Times New Roman" w:cs="Times New Roman"/>
          <w:color w:val="auto"/>
        </w:rPr>
        <w:t>__________________ № ________________</w:t>
      </w:r>
    </w:p>
    <w:p w:rsidR="00746EF0" w:rsidRPr="00B41688" w:rsidRDefault="00746EF0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B41688" w:rsidRDefault="00894C62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3F7518" w:rsidRDefault="007C3353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бюджета </w:t>
      </w:r>
    </w:p>
    <w:p w:rsidR="00E71A76" w:rsidRDefault="006D7A4D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городского округа</w:t>
      </w:r>
      <w:r w:rsidR="003723D6">
        <w:rPr>
          <w:rFonts w:ascii="Times New Roman" w:hAnsi="Times New Roman" w:cs="Times New Roman"/>
          <w:b/>
          <w:color w:val="auto"/>
        </w:rPr>
        <w:t xml:space="preserve"> </w:t>
      </w:r>
      <w:r w:rsidRPr="00B41688">
        <w:rPr>
          <w:rFonts w:ascii="Times New Roman" w:hAnsi="Times New Roman" w:cs="Times New Roman"/>
          <w:b/>
          <w:color w:val="auto"/>
        </w:rPr>
        <w:t xml:space="preserve">Воскресенск </w:t>
      </w:r>
      <w:r w:rsidR="003F7518">
        <w:rPr>
          <w:rFonts w:ascii="Times New Roman" w:hAnsi="Times New Roman" w:cs="Times New Roman"/>
          <w:b/>
          <w:color w:val="auto"/>
        </w:rPr>
        <w:t>Московской области</w:t>
      </w:r>
      <w:r w:rsidR="00660312">
        <w:rPr>
          <w:rFonts w:ascii="Times New Roman" w:hAnsi="Times New Roman" w:cs="Times New Roman"/>
          <w:b/>
          <w:color w:val="auto"/>
        </w:rPr>
        <w:t xml:space="preserve"> и внесении изменений в муниципальную программу «</w:t>
      </w:r>
      <w:r w:rsidR="002523A6">
        <w:rPr>
          <w:rFonts w:ascii="Times New Roman" w:hAnsi="Times New Roman" w:cs="Times New Roman"/>
          <w:b/>
          <w:color w:val="auto"/>
        </w:rPr>
        <w:t>Переселение граждан из аварийного жилищного фонда</w:t>
      </w:r>
      <w:r w:rsidR="00660312">
        <w:rPr>
          <w:rFonts w:ascii="Times New Roman" w:hAnsi="Times New Roman" w:cs="Times New Roman"/>
          <w:b/>
          <w:color w:val="auto"/>
        </w:rPr>
        <w:t>», утвержденную постановлением Администрации городского округа Воскресенск Московской области от 0</w:t>
      </w:r>
      <w:r w:rsidR="002523A6">
        <w:rPr>
          <w:rFonts w:ascii="Times New Roman" w:hAnsi="Times New Roman" w:cs="Times New Roman"/>
          <w:b/>
          <w:color w:val="auto"/>
        </w:rPr>
        <w:t>5</w:t>
      </w:r>
      <w:r w:rsidR="00660312">
        <w:rPr>
          <w:rFonts w:ascii="Times New Roman" w:hAnsi="Times New Roman" w:cs="Times New Roman"/>
          <w:b/>
          <w:color w:val="auto"/>
        </w:rPr>
        <w:t>.12.202</w:t>
      </w:r>
      <w:r w:rsidR="002523A6">
        <w:rPr>
          <w:rFonts w:ascii="Times New Roman" w:hAnsi="Times New Roman" w:cs="Times New Roman"/>
          <w:b/>
          <w:color w:val="auto"/>
        </w:rPr>
        <w:t>3</w:t>
      </w:r>
      <w:r w:rsidR="00660312">
        <w:rPr>
          <w:rFonts w:ascii="Times New Roman" w:hAnsi="Times New Roman" w:cs="Times New Roman"/>
          <w:b/>
          <w:color w:val="auto"/>
        </w:rPr>
        <w:t xml:space="preserve"> № </w:t>
      </w:r>
      <w:r w:rsidR="002523A6">
        <w:rPr>
          <w:rFonts w:ascii="Times New Roman" w:hAnsi="Times New Roman" w:cs="Times New Roman"/>
          <w:b/>
          <w:color w:val="auto"/>
        </w:rPr>
        <w:t>7122</w:t>
      </w:r>
      <w:r w:rsidR="00660312">
        <w:rPr>
          <w:rFonts w:ascii="Times New Roman" w:hAnsi="Times New Roman" w:cs="Times New Roman"/>
          <w:b/>
          <w:color w:val="auto"/>
        </w:rPr>
        <w:t xml:space="preserve"> (с изменениями от </w:t>
      </w:r>
      <w:r w:rsidR="002523A6">
        <w:rPr>
          <w:rFonts w:ascii="Times New Roman" w:hAnsi="Times New Roman" w:cs="Times New Roman"/>
          <w:b/>
          <w:color w:val="auto"/>
        </w:rPr>
        <w:t>05.02.2024 № 489, от 07.03.2024 № 1040</w:t>
      </w:r>
      <w:r w:rsidR="00E71A76">
        <w:rPr>
          <w:rFonts w:ascii="Times New Roman" w:hAnsi="Times New Roman" w:cs="Times New Roman"/>
          <w:b/>
          <w:color w:val="auto"/>
        </w:rPr>
        <w:t xml:space="preserve">, </w:t>
      </w:r>
    </w:p>
    <w:p w:rsidR="003F7518" w:rsidRPr="00B41688" w:rsidRDefault="00E71A76" w:rsidP="003F7518">
      <w:pPr>
        <w:autoSpaceDE w:val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</w:rPr>
        <w:t>от 07.05.2024 № 1980</w:t>
      </w:r>
      <w:r w:rsidR="00660312">
        <w:rPr>
          <w:rFonts w:ascii="Times New Roman" w:hAnsi="Times New Roman" w:cs="Times New Roman"/>
          <w:b/>
          <w:color w:val="auto"/>
        </w:rPr>
        <w:t>)</w:t>
      </w:r>
    </w:p>
    <w:p w:rsidR="00894C62" w:rsidRDefault="00894C62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559B1" w:rsidRDefault="004559B1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457F3" w:rsidRPr="00B41688" w:rsidRDefault="00E457F3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176C8" w:rsidRPr="00846068" w:rsidRDefault="005D583B" w:rsidP="00F546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688">
        <w:rPr>
          <w:rFonts w:ascii="Times New Roman" w:hAnsi="Times New Roman" w:cs="Times New Roman"/>
          <w:sz w:val="24"/>
          <w:szCs w:val="24"/>
        </w:rPr>
        <w:t>В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 со</w:t>
      </w:r>
      <w:r w:rsidRPr="00B41688">
        <w:rPr>
          <w:rFonts w:ascii="Times New Roman" w:hAnsi="Times New Roman" w:cs="Times New Roman"/>
          <w:sz w:val="24"/>
          <w:szCs w:val="24"/>
        </w:rPr>
        <w:t>о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8271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</w:t>
      </w:r>
      <w:r w:rsidR="009155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>Московской области от 30.11.2022 №</w:t>
      </w:r>
      <w:r w:rsidR="003E5373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>6282 «Об утверждении порядка использования (перераспределения) средств, зарезервированных в составе утвержденных в решении о бюджете городского округа Воскресенск бюджетных ассигнований</w:t>
      </w:r>
      <w:r w:rsidR="00E6607D">
        <w:rPr>
          <w:rFonts w:ascii="Times New Roman" w:hAnsi="Times New Roman" w:cs="Times New Roman"/>
          <w:sz w:val="24"/>
          <w:szCs w:val="24"/>
        </w:rPr>
        <w:t>»</w:t>
      </w:r>
      <w:r w:rsidR="00660312">
        <w:rPr>
          <w:rFonts w:ascii="Times New Roman" w:hAnsi="Times New Roman" w:cs="Times New Roman"/>
          <w:sz w:val="24"/>
          <w:szCs w:val="24"/>
        </w:rPr>
        <w:t xml:space="preserve">, руководствуясь Порядком разработки и </w:t>
      </w:r>
      <w:r w:rsidR="009155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312">
        <w:rPr>
          <w:rFonts w:ascii="Times New Roman" w:hAnsi="Times New Roman" w:cs="Times New Roman"/>
          <w:sz w:val="24"/>
          <w:szCs w:val="24"/>
        </w:rPr>
        <w:t xml:space="preserve">реализации муниципальных программ городского округа Воскресенск Московской области, </w:t>
      </w:r>
      <w:r w:rsidR="009155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0312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городского округа Воскресенск Московской </w:t>
      </w:r>
      <w:r w:rsidR="009155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0312">
        <w:rPr>
          <w:rFonts w:ascii="Times New Roman" w:hAnsi="Times New Roman" w:cs="Times New Roman"/>
          <w:sz w:val="24"/>
          <w:szCs w:val="24"/>
        </w:rPr>
        <w:t xml:space="preserve">области от 22.11.2022 № 6092 (с изменениями от 20.01.2024 № 219, от 07.04.2023 № 1835, от 23.06.2023 № 3381, от 21.08.2023 № 4689, от 10.01.2024 № 11), в связи с принятием решения о </w:t>
      </w:r>
      <w:r w:rsidR="009155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0312">
        <w:rPr>
          <w:rFonts w:ascii="Times New Roman" w:hAnsi="Times New Roman" w:cs="Times New Roman"/>
          <w:sz w:val="24"/>
          <w:szCs w:val="24"/>
        </w:rPr>
        <w:t>необходимости изменения объемов финансирования</w:t>
      </w:r>
    </w:p>
    <w:p w:rsidR="00F5465E" w:rsidRPr="00B41688" w:rsidRDefault="00F5465E" w:rsidP="00F5465E">
      <w:pPr>
        <w:pStyle w:val="ConsPlusNormal"/>
        <w:suppressAutoHyphens/>
        <w:ind w:firstLine="539"/>
        <w:jc w:val="both"/>
      </w:pPr>
    </w:p>
    <w:p w:rsidR="00746EF0" w:rsidRDefault="00746EF0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:rsidR="003723D6" w:rsidRPr="00B41688" w:rsidRDefault="003723D6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:rsidR="00916D4A" w:rsidRDefault="00752BCF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средства,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</w:rPr>
        <w:t>1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.12.202</w:t>
      </w:r>
      <w:r w:rsidR="006B5D5B">
        <w:rPr>
          <w:rFonts w:ascii="Times New Roman" w:hAnsi="Times New Roman" w:cs="Times New Roman"/>
        </w:rPr>
        <w:t>3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873/116</w:t>
      </w:r>
      <w:r w:rsidR="006B5D5B" w:rsidRPr="00B41688">
        <w:rPr>
          <w:rFonts w:ascii="Times New Roman" w:hAnsi="Times New Roman" w:cs="Times New Roman"/>
        </w:rPr>
        <w:t xml:space="preserve"> «О</w:t>
      </w:r>
      <w:r w:rsidR="006B5D5B">
        <w:rPr>
          <w:rFonts w:ascii="Times New Roman" w:hAnsi="Times New Roman" w:cs="Times New Roman"/>
        </w:rPr>
        <w:t xml:space="preserve"> </w:t>
      </w:r>
      <w:r w:rsidR="006B5D5B" w:rsidRPr="00B41688">
        <w:rPr>
          <w:rFonts w:ascii="Times New Roman" w:hAnsi="Times New Roman" w:cs="Times New Roman"/>
        </w:rPr>
        <w:t>бюджет</w:t>
      </w:r>
      <w:r w:rsidR="006B5D5B">
        <w:rPr>
          <w:rFonts w:ascii="Times New Roman" w:hAnsi="Times New Roman" w:cs="Times New Roman"/>
        </w:rPr>
        <w:t>е</w:t>
      </w:r>
      <w:r w:rsidR="006B5D5B"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год и плановый период 202</w:t>
      </w:r>
      <w:r w:rsidR="006B5D5B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и 202</w:t>
      </w:r>
      <w:r w:rsidR="006B5D5B">
        <w:rPr>
          <w:rFonts w:ascii="Times New Roman" w:hAnsi="Times New Roman" w:cs="Times New Roman"/>
        </w:rPr>
        <w:t>6</w:t>
      </w:r>
      <w:r w:rsidR="006B5D5B" w:rsidRPr="00B41688">
        <w:rPr>
          <w:rFonts w:ascii="Times New Roman" w:hAnsi="Times New Roman" w:cs="Times New Roman"/>
        </w:rPr>
        <w:t xml:space="preserve"> годов»</w:t>
      </w:r>
      <w:r w:rsidR="006B5D5B" w:rsidRPr="00B41688">
        <w:t xml:space="preserve"> </w:t>
      </w:r>
      <w:r w:rsidR="006B5D5B" w:rsidRPr="00B41688">
        <w:rPr>
          <w:rFonts w:ascii="Times New Roman" w:hAnsi="Times New Roman" w:cs="Times New Roman"/>
        </w:rPr>
        <w:t>(с изменениями от 2</w:t>
      </w:r>
      <w:r w:rsidR="006B5D5B">
        <w:rPr>
          <w:rFonts w:ascii="Times New Roman" w:hAnsi="Times New Roman" w:cs="Times New Roman"/>
        </w:rPr>
        <w:t>9</w:t>
      </w:r>
      <w:r w:rsidR="006B5D5B" w:rsidRPr="00B41688">
        <w:rPr>
          <w:rFonts w:ascii="Times New Roman" w:hAnsi="Times New Roman" w:cs="Times New Roman"/>
        </w:rPr>
        <w:t>.0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900/121</w:t>
      </w:r>
      <w:r w:rsidR="006B5D5B" w:rsidRPr="00B41688">
        <w:rPr>
          <w:rFonts w:ascii="Times New Roman" w:hAnsi="Times New Roman" w:cs="Times New Roman"/>
        </w:rPr>
        <w:t>)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предусмотренных по подразделу «Другие общегосударственные вопросы» раздел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мероприятия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по иным расходам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(Средства в целях дальнейшего перераспределения на реализацию муниципальных программ и (или) на непрограммные направления деятельности)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202</w:t>
      </w:r>
      <w:r w:rsidR="0084606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году в сумме 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53</w:t>
      </w:r>
      <w:r w:rsidR="001F085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276 433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(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Пятьдесят три миллиона двести семьдесят шесть тысяч четыреста тридцать три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) рубл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я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72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копе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й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к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09FE">
        <w:rPr>
          <w:rFonts w:ascii="Times New Roman" w:hAnsi="Times New Roman" w:cs="Times New Roman"/>
          <w:color w:val="auto"/>
          <w:shd w:val="clear" w:color="auto" w:fill="FFFFFF"/>
        </w:rPr>
        <w:t xml:space="preserve">на 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мероприятие 0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.01 «</w:t>
      </w:r>
      <w:r w:rsidR="00E71A76" w:rsidRPr="00E71A76">
        <w:rPr>
          <w:rFonts w:ascii="Times New Roman" w:hAnsi="Times New Roman" w:cs="Times New Roman"/>
          <w:color w:val="auto"/>
          <w:shd w:val="clear" w:color="auto" w:fill="FFFFFF"/>
        </w:rPr>
        <w:t>Обеспечение мероприятий по переселению граждан из аварийного жилищного фонда, признанного таковым после 1 января 2017 года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>» подпрограммы 4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E71A76" w:rsidRPr="00E71A76">
        <w:rPr>
          <w:rFonts w:ascii="Times New Roman" w:hAnsi="Times New Roman" w:cs="Times New Roman"/>
          <w:color w:val="auto"/>
          <w:shd w:val="clear" w:color="auto" w:fill="FFFFFF"/>
        </w:rPr>
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916D4A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916D4A" w:rsidRDefault="002E436D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916D4A" w:rsidSect="00916D4A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color w:val="auto"/>
          <w:shd w:val="clear" w:color="auto" w:fill="FFFFFF"/>
        </w:rPr>
        <w:t>Главным распорядителем средств бюджета городского округа Воскресенск Московской области, распределенных настоящим пунктом, является Администрация городского округа Воскресенск Московской области.</w:t>
      </w:r>
    </w:p>
    <w:p w:rsidR="00001487" w:rsidRPr="00035663" w:rsidRDefault="00001487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2. Утвердить изменения в </w:t>
      </w:r>
      <w:r w:rsidRPr="00001487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муниципальную программу 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>«Переселение граждан из аварийного жилищного фонда», утвержденную постановлением Администрации городского округа Воскресенск Московской области от 05.12.2023 № 7122 (с изменениями от 05.02.2024 № 489, от 07.03.2024 № 1040</w:t>
      </w:r>
      <w:r w:rsidR="00E71A76">
        <w:rPr>
          <w:rFonts w:ascii="Times New Roman" w:hAnsi="Times New Roman" w:cs="Times New Roman"/>
          <w:color w:val="auto"/>
          <w:shd w:val="clear" w:color="auto" w:fill="FFFFFF"/>
        </w:rPr>
        <w:t>, от 07.05.2024 № 1980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>)</w:t>
      </w:r>
      <w:r>
        <w:rPr>
          <w:rFonts w:ascii="Times New Roman" w:hAnsi="Times New Roman" w:cs="Times New Roman"/>
          <w:color w:val="auto"/>
          <w:shd w:val="clear" w:color="auto" w:fill="FFFFFF"/>
        </w:rPr>
        <w:t>. (Приложение.)</w:t>
      </w:r>
    </w:p>
    <w:p w:rsidR="00C245DD" w:rsidRPr="00B41688" w:rsidRDefault="00771AB0" w:rsidP="00B57FC7">
      <w:pPr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36033" w:rsidRPr="00B41688">
        <w:rPr>
          <w:rFonts w:ascii="Times New Roman" w:hAnsi="Times New Roman" w:cs="Times New Roman"/>
          <w:color w:val="auto"/>
        </w:rPr>
        <w:t xml:space="preserve">. </w:t>
      </w:r>
      <w:r w:rsidR="00C56B3D" w:rsidRPr="00B41688">
        <w:rPr>
          <w:rFonts w:ascii="Times New Roman" w:hAnsi="Times New Roman" w:cs="Times New Roman"/>
          <w:color w:val="auto"/>
        </w:rPr>
        <w:t xml:space="preserve">Опубликовать настоящее постановление в </w:t>
      </w:r>
      <w:r w:rsidR="00CF33D4" w:rsidRPr="00B41688">
        <w:rPr>
          <w:rFonts w:ascii="Times New Roman" w:hAnsi="Times New Roman" w:cs="Times New Roman"/>
          <w:color w:val="auto"/>
        </w:rPr>
        <w:t>периодическом печатном издании «</w:t>
      </w:r>
      <w:r w:rsidR="00D946F1">
        <w:rPr>
          <w:rFonts w:ascii="Times New Roman" w:hAnsi="Times New Roman" w:cs="Times New Roman"/>
          <w:color w:val="auto"/>
        </w:rPr>
        <w:t>Фактор-инфо</w:t>
      </w:r>
      <w:r w:rsidR="00C245DD" w:rsidRPr="00B41688">
        <w:rPr>
          <w:rFonts w:ascii="Times New Roman" w:hAnsi="Times New Roman" w:cs="Times New Roman"/>
          <w:color w:val="auto"/>
        </w:rPr>
        <w:t>» и</w:t>
      </w:r>
      <w:r w:rsidR="00F9435C" w:rsidRPr="00B41688">
        <w:rPr>
          <w:rFonts w:ascii="Times New Roman" w:hAnsi="Times New Roman" w:cs="Times New Roman"/>
          <w:color w:val="auto"/>
        </w:rPr>
        <w:t xml:space="preserve"> </w:t>
      </w:r>
      <w:r w:rsidR="00C245DD" w:rsidRPr="00B41688">
        <w:rPr>
          <w:rFonts w:ascii="Times New Roman" w:hAnsi="Times New Roman" w:cs="Times New Roman"/>
          <w:color w:val="auto"/>
        </w:rPr>
        <w:t>разместить на официальном сайте городского округа Воскресенск Московской области.</w:t>
      </w:r>
    </w:p>
    <w:p w:rsidR="00B019F0" w:rsidRPr="00B41688" w:rsidRDefault="00771AB0" w:rsidP="00C56B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F36033" w:rsidRPr="00B41688">
        <w:rPr>
          <w:rFonts w:ascii="Times New Roman" w:hAnsi="Times New Roman"/>
          <w:color w:val="auto"/>
        </w:rPr>
        <w:t>.</w:t>
      </w:r>
      <w:r w:rsidR="000409A2">
        <w:rPr>
          <w:rFonts w:ascii="Times New Roman" w:hAnsi="Times New Roman"/>
          <w:color w:val="auto"/>
        </w:rPr>
        <w:t xml:space="preserve"> </w:t>
      </w:r>
      <w:r w:rsidR="00B019F0" w:rsidRPr="00B4168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 w:rsidR="00916D4A">
        <w:rPr>
          <w:rFonts w:ascii="Times New Roman" w:hAnsi="Times New Roman"/>
          <w:color w:val="auto"/>
        </w:rPr>
        <w:t xml:space="preserve">возложить на заместителя Главы городского округа Воскресенск </w:t>
      </w:r>
      <w:r w:rsidR="00916D4A" w:rsidRPr="00E71A76">
        <w:rPr>
          <w:rFonts w:ascii="Times New Roman" w:hAnsi="Times New Roman"/>
          <w:color w:val="auto"/>
        </w:rPr>
        <w:t>Илюшина</w:t>
      </w:r>
      <w:r w:rsidR="000274B6">
        <w:rPr>
          <w:rFonts w:ascii="Times New Roman" w:hAnsi="Times New Roman"/>
          <w:color w:val="auto"/>
        </w:rPr>
        <w:t xml:space="preserve"> О.В.</w:t>
      </w: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1F0852" w:rsidRDefault="00771AB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  <w:sectPr w:rsidR="001F0852" w:rsidSect="00567BEB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  <w:color w:val="auto"/>
        </w:rPr>
        <w:t>Глав</w:t>
      </w:r>
      <w:r w:rsidR="00916D4A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городского округа Воскресенск</w:t>
      </w:r>
      <w:r w:rsidR="001F0852">
        <w:rPr>
          <w:rFonts w:ascii="Times New Roman" w:hAnsi="Times New Roman"/>
          <w:color w:val="auto"/>
        </w:rPr>
        <w:t xml:space="preserve">                                                                                   </w:t>
      </w:r>
      <w:r w:rsidR="00916D4A">
        <w:rPr>
          <w:rFonts w:ascii="Times New Roman" w:hAnsi="Times New Roman"/>
          <w:color w:val="auto"/>
        </w:rPr>
        <w:t>А.В. Малкин</w:t>
      </w:r>
    </w:p>
    <w:p w:rsidR="001F0852" w:rsidRPr="00B96995" w:rsidRDefault="001F0852" w:rsidP="001F085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lastRenderedPageBreak/>
        <w:t>УТВЕРЖДЕНЫ</w:t>
      </w:r>
    </w:p>
    <w:p w:rsidR="001F0852" w:rsidRPr="00B96995" w:rsidRDefault="001F0852" w:rsidP="001F085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постановлением Администрации</w:t>
      </w:r>
    </w:p>
    <w:p w:rsidR="001F0852" w:rsidRPr="00B96995" w:rsidRDefault="001F0852" w:rsidP="001F085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городского округа Воскресенск</w:t>
      </w:r>
    </w:p>
    <w:p w:rsidR="001F0852" w:rsidRPr="00B96995" w:rsidRDefault="001F0852" w:rsidP="001F0852">
      <w:pPr>
        <w:widowControl/>
        <w:spacing w:line="360" w:lineRule="auto"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:rsidR="001F0852" w:rsidRPr="00B96995" w:rsidRDefault="001F0852" w:rsidP="001F0852">
      <w:pPr>
        <w:widowControl/>
        <w:spacing w:line="360" w:lineRule="auto"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от_________________№___________</w:t>
      </w:r>
    </w:p>
    <w:p w:rsidR="001F0852" w:rsidRPr="00B96995" w:rsidRDefault="001F0852" w:rsidP="001F0852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1F0852" w:rsidRPr="00B96995" w:rsidRDefault="001F0852" w:rsidP="001F085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Изменения</w:t>
      </w:r>
    </w:p>
    <w:p w:rsidR="001F0852" w:rsidRPr="00B96995" w:rsidRDefault="001F0852" w:rsidP="001F085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 xml:space="preserve"> в муниципальную программу «</w:t>
      </w:r>
      <w:r w:rsidRPr="00B96995">
        <w:rPr>
          <w:rFonts w:ascii="Times New Roman" w:hAnsi="Times New Roman" w:cs="Times New Roman"/>
          <w:color w:val="auto"/>
          <w:shd w:val="clear" w:color="auto" w:fill="FFFFFF"/>
        </w:rPr>
        <w:t xml:space="preserve">Переселение граждан из аварийного </w:t>
      </w:r>
      <w:r w:rsidRPr="00B96995">
        <w:rPr>
          <w:rFonts w:ascii="Times New Roman" w:hAnsi="Times New Roman" w:cs="Times New Roman"/>
          <w:color w:val="auto"/>
          <w:spacing w:val="-2"/>
          <w:shd w:val="clear" w:color="auto" w:fill="FFFFFF"/>
        </w:rPr>
        <w:t>жилищного фонда», утвержденную постановлением Администрации городского округа Воскресенск</w:t>
      </w:r>
      <w:r w:rsidRPr="00B96995">
        <w:rPr>
          <w:rFonts w:ascii="Times New Roman" w:hAnsi="Times New Roman" w:cs="Times New Roman"/>
          <w:color w:val="auto"/>
          <w:shd w:val="clear" w:color="auto" w:fill="FFFFFF"/>
        </w:rPr>
        <w:t xml:space="preserve"> Московской области от 05.12.2023 № 7122 (с изменениями от 05.02.2024 № 489, от 07.03.2024 № 1040</w:t>
      </w:r>
      <w:r>
        <w:rPr>
          <w:rFonts w:ascii="Times New Roman" w:hAnsi="Times New Roman" w:cs="Times New Roman"/>
          <w:color w:val="auto"/>
          <w:shd w:val="clear" w:color="auto" w:fill="FFFFFF"/>
        </w:rPr>
        <w:t>, от 07.05.2024 № 1980</w:t>
      </w:r>
      <w:r w:rsidRPr="00B96995">
        <w:rPr>
          <w:rFonts w:ascii="Times New Roman" w:eastAsia="Times New Roman" w:hAnsi="Times New Roman" w:cs="Times New Roman"/>
          <w:color w:val="auto"/>
        </w:rPr>
        <w:t>)</w:t>
      </w:r>
    </w:p>
    <w:p w:rsidR="00AE4D6E" w:rsidRDefault="00AE4D6E" w:rsidP="001F0852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F0852" w:rsidRPr="00B96995" w:rsidRDefault="001F0852" w:rsidP="001F0852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1. Раздел 1 «Паспорт муниципальной программы «</w:t>
      </w:r>
      <w:r w:rsidRPr="00B96995">
        <w:rPr>
          <w:rFonts w:ascii="Times New Roman" w:eastAsia="Calibri" w:hAnsi="Times New Roman" w:cs="Times New Roman"/>
        </w:rPr>
        <w:t>Переселение граждан из аварийного жилищного фонда</w:t>
      </w:r>
      <w:r w:rsidRPr="00B96995">
        <w:rPr>
          <w:rFonts w:ascii="Times New Roman" w:eastAsia="Times New Roman" w:hAnsi="Times New Roman" w:cs="Times New Roman"/>
          <w:color w:val="auto"/>
        </w:rPr>
        <w:t>» изложить в следующей редакции:</w:t>
      </w:r>
    </w:p>
    <w:p w:rsidR="001F0852" w:rsidRPr="00B96995" w:rsidRDefault="001F0852" w:rsidP="001F0852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«</w:t>
      </w:r>
    </w:p>
    <w:p w:rsidR="001F0852" w:rsidRPr="00B96995" w:rsidRDefault="001F0852" w:rsidP="001F0852">
      <w:pPr>
        <w:ind w:left="218" w:right="-1"/>
        <w:jc w:val="center"/>
        <w:rPr>
          <w:rFonts w:ascii="Times New Roman" w:eastAsia="Calibri" w:hAnsi="Times New Roman" w:cs="Times New Roman"/>
        </w:rPr>
      </w:pPr>
      <w:r w:rsidRPr="00B96995">
        <w:rPr>
          <w:rFonts w:ascii="Times New Roman" w:eastAsia="Calibri" w:hAnsi="Times New Roman" w:cs="Times New Roman"/>
        </w:rPr>
        <w:t>1. Паспорт муниципальной программы «Переселение граждан из аварийного жилищного фонда»</w:t>
      </w:r>
    </w:p>
    <w:p w:rsidR="001F0852" w:rsidRDefault="001F0852" w:rsidP="001F0852">
      <w:pPr>
        <w:ind w:left="1134" w:right="567"/>
        <w:jc w:val="center"/>
        <w:rPr>
          <w:rFonts w:ascii="Times New Roman" w:eastAsia="Calibri" w:hAnsi="Times New Roman" w:cs="Times New Roman"/>
          <w:b/>
        </w:rPr>
      </w:pP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1646"/>
        <w:gridCol w:w="1643"/>
        <w:gridCol w:w="1646"/>
        <w:gridCol w:w="1643"/>
        <w:gridCol w:w="1438"/>
        <w:gridCol w:w="1378"/>
        <w:gridCol w:w="1402"/>
      </w:tblGrid>
      <w:tr w:rsidR="0091557F" w:rsidRPr="0091557F" w:rsidTr="0091557F"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eastAsia="Calibri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574" w:type="pct"/>
            <w:gridSpan w:val="7"/>
            <w:shd w:val="clear" w:color="auto" w:fill="auto"/>
          </w:tcPr>
          <w:p w:rsidR="0091557F" w:rsidRPr="0091557F" w:rsidRDefault="0091557F" w:rsidP="00090D52">
            <w:pPr>
              <w:autoSpaceDE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Заместитель Главы городского округа Воскресенск, курирующий вопросы жилищной политики</w:t>
            </w:r>
          </w:p>
        </w:tc>
      </w:tr>
      <w:tr w:rsidR="0091557F" w:rsidRPr="0091557F" w:rsidTr="0091557F"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Муниципальный заказчик муниципальной программы </w:t>
            </w:r>
          </w:p>
        </w:tc>
        <w:tc>
          <w:tcPr>
            <w:tcW w:w="3574" w:type="pct"/>
            <w:gridSpan w:val="7"/>
            <w:shd w:val="clear" w:color="auto" w:fill="auto"/>
          </w:tcPr>
          <w:p w:rsidR="0091557F" w:rsidRPr="0091557F" w:rsidRDefault="0091557F" w:rsidP="00090D52">
            <w:pPr>
              <w:autoSpaceDE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Управление жилищной политики Администрации городского округа Воскресенск</w:t>
            </w:r>
          </w:p>
        </w:tc>
      </w:tr>
      <w:tr w:rsidR="0091557F" w:rsidRPr="0091557F" w:rsidTr="0091557F"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eastAsia="Calibri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574" w:type="pct"/>
            <w:gridSpan w:val="7"/>
            <w:shd w:val="clear" w:color="auto" w:fill="auto"/>
          </w:tcPr>
          <w:p w:rsidR="0091557F" w:rsidRPr="0091557F" w:rsidRDefault="0091557F" w:rsidP="00090D52">
            <w:pPr>
              <w:pStyle w:val="con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557F">
              <w:rPr>
                <w:sz w:val="22"/>
                <w:szCs w:val="22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эксплуатации.</w:t>
            </w:r>
          </w:p>
          <w:p w:rsidR="0091557F" w:rsidRPr="0091557F" w:rsidRDefault="0091557F" w:rsidP="00090D52">
            <w:pPr>
              <w:pStyle w:val="con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557F">
              <w:rPr>
                <w:sz w:val="22"/>
                <w:szCs w:val="22"/>
              </w:rPr>
              <w:t>Создание безопасных и благоприятных условий проживания граждан.</w:t>
            </w:r>
          </w:p>
          <w:p w:rsidR="0091557F" w:rsidRPr="0091557F" w:rsidRDefault="0091557F" w:rsidP="00090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91557F" w:rsidRPr="0091557F" w:rsidTr="0091557F"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eastAsia="Calibri" w:hAnsi="Times New Roman" w:cs="Times New Roman"/>
                <w:sz w:val="22"/>
                <w:szCs w:val="22"/>
              </w:rPr>
              <w:t>Перечень подпрограмм муниципальной программы</w:t>
            </w:r>
          </w:p>
        </w:tc>
        <w:tc>
          <w:tcPr>
            <w:tcW w:w="3574" w:type="pct"/>
            <w:gridSpan w:val="7"/>
            <w:shd w:val="clear" w:color="auto" w:fill="auto"/>
            <w:vAlign w:val="center"/>
          </w:tcPr>
          <w:p w:rsidR="0091557F" w:rsidRPr="0091557F" w:rsidRDefault="0091557F" w:rsidP="00090D5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      </w:r>
          </w:p>
        </w:tc>
      </w:tr>
      <w:tr w:rsidR="0091557F" w:rsidRPr="0091557F" w:rsidTr="0091557F"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1557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Этапы и сроки реализации муниципальной программы переселения</w:t>
            </w:r>
          </w:p>
        </w:tc>
        <w:tc>
          <w:tcPr>
            <w:tcW w:w="3574" w:type="pct"/>
            <w:gridSpan w:val="7"/>
            <w:shd w:val="clear" w:color="auto" w:fill="auto"/>
            <w:vAlign w:val="center"/>
          </w:tcPr>
          <w:p w:rsidR="0091557F" w:rsidRPr="0091557F" w:rsidRDefault="0091557F" w:rsidP="00090D5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2024 – 2029 гг.</w:t>
            </w:r>
          </w:p>
        </w:tc>
      </w:tr>
      <w:tr w:rsidR="0091557F" w:rsidRPr="0091557F" w:rsidTr="0091557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26" w:type="pct"/>
            <w:vMerge w:val="restar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муниципальной программы</w:t>
            </w:r>
          </w:p>
        </w:tc>
        <w:tc>
          <w:tcPr>
            <w:tcW w:w="3574" w:type="pct"/>
            <w:gridSpan w:val="7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91557F" w:rsidRPr="0091557F" w:rsidTr="0091557F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426" w:type="pct"/>
            <w:vMerge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545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44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76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56" w:type="pct"/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463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91557F" w:rsidRPr="0091557F" w:rsidTr="0091557F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606 626,39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491 754,09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113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114 872,30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63" w:type="pct"/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1557F" w:rsidRPr="0091557F" w:rsidTr="0091557F">
        <w:tblPrEx>
          <w:tblLook w:val="04A0" w:firstRow="1" w:lastRow="0" w:firstColumn="1" w:lastColumn="0" w:noHBand="0" w:noVBand="1"/>
        </w:tblPrEx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504 147,93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410 689,99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93 457,94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63" w:type="pct"/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</w:tr>
      <w:tr w:rsidR="0091557F" w:rsidRPr="0091557F" w:rsidTr="0091557F">
        <w:tblPrEx>
          <w:tblLook w:val="04A0" w:firstRow="1" w:lastRow="0" w:firstColumn="1" w:lastColumn="0" w:noHBand="0" w:noVBand="1"/>
        </w:tblPrEx>
        <w:tc>
          <w:tcPr>
            <w:tcW w:w="1426" w:type="pct"/>
            <w:shd w:val="clear" w:color="auto" w:fill="auto"/>
          </w:tcPr>
          <w:p w:rsidR="0091557F" w:rsidRPr="0091557F" w:rsidRDefault="0091557F" w:rsidP="00090D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45" w:type="pct"/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102 478,46</w:t>
            </w:r>
          </w:p>
        </w:tc>
        <w:tc>
          <w:tcPr>
            <w:tcW w:w="544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81 064,10</w:t>
            </w:r>
          </w:p>
        </w:tc>
        <w:tc>
          <w:tcPr>
            <w:tcW w:w="545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544" w:type="pct"/>
            <w:shd w:val="clear" w:color="auto" w:fill="auto"/>
          </w:tcPr>
          <w:p w:rsidR="0091557F" w:rsidRPr="0091557F" w:rsidRDefault="0091557F" w:rsidP="00090D5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21 414,36</w:t>
            </w:r>
          </w:p>
        </w:tc>
        <w:tc>
          <w:tcPr>
            <w:tcW w:w="476" w:type="pct"/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63" w:type="pct"/>
            <w:shd w:val="clear" w:color="auto" w:fill="auto"/>
          </w:tcPr>
          <w:p w:rsidR="0091557F" w:rsidRPr="0091557F" w:rsidRDefault="0091557F" w:rsidP="00090D5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1F0852" w:rsidRPr="00B96995" w:rsidRDefault="001F0852" w:rsidP="001F0852">
      <w:pPr>
        <w:widowControl/>
        <w:tabs>
          <w:tab w:val="left" w:pos="709"/>
        </w:tabs>
        <w:jc w:val="right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»;</w:t>
      </w:r>
    </w:p>
    <w:p w:rsidR="00AE4D6E" w:rsidRPr="00B96995" w:rsidRDefault="00AE4D6E" w:rsidP="00AE4D6E">
      <w:pPr>
        <w:tabs>
          <w:tab w:val="left" w:pos="150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4D6E">
        <w:rPr>
          <w:rFonts w:ascii="Times New Roman" w:eastAsia="Times New Roman" w:hAnsi="Times New Roman" w:cs="Times New Roman"/>
          <w:color w:val="auto"/>
        </w:rPr>
        <w:lastRenderedPageBreak/>
        <w:t>2. Раздел 10 «</w:t>
      </w:r>
      <w:r w:rsidRPr="00AE4D6E">
        <w:rPr>
          <w:rFonts w:ascii="Times New Roman" w:hAnsi="Times New Roman" w:cs="Times New Roman"/>
          <w:bCs/>
        </w:rPr>
        <w:t xml:space="preserve">Планируемые показатели реализации муниципальной программы </w:t>
      </w:r>
      <w:r w:rsidRPr="00AE4D6E">
        <w:rPr>
          <w:rFonts w:ascii="Times New Roman" w:hAnsi="Times New Roman" w:cs="Times New Roman"/>
        </w:rPr>
        <w:t>«Переселение граждан из аварийного жилищного фонда</w:t>
      </w:r>
      <w:r w:rsidRPr="00AE4D6E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96995">
        <w:rPr>
          <w:rFonts w:ascii="Times New Roman" w:eastAsia="Times New Roman" w:hAnsi="Times New Roman" w:cs="Times New Roman"/>
          <w:color w:val="auto"/>
        </w:rPr>
        <w:t>изложить в следующей редакции:</w:t>
      </w:r>
    </w:p>
    <w:p w:rsidR="00AE4D6E" w:rsidRDefault="00AE4D6E" w:rsidP="00AE4D6E">
      <w:pPr>
        <w:tabs>
          <w:tab w:val="left" w:pos="1500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</w:p>
    <w:p w:rsidR="00AE4D6E" w:rsidRPr="00AE4D6E" w:rsidRDefault="00AE4D6E" w:rsidP="00AE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AE4D6E">
        <w:rPr>
          <w:rFonts w:ascii="Times New Roman" w:hAnsi="Times New Roman" w:cs="Times New Roman"/>
          <w:bCs/>
        </w:rPr>
        <w:t xml:space="preserve">10. Планируемые показатели реализации муниципальной программы </w:t>
      </w:r>
      <w:r w:rsidRPr="00AE4D6E">
        <w:rPr>
          <w:rFonts w:ascii="Times New Roman" w:hAnsi="Times New Roman" w:cs="Times New Roman"/>
        </w:rPr>
        <w:t>«Переселение граждан из аварийного жилищного фонда»</w:t>
      </w:r>
    </w:p>
    <w:p w:rsidR="00AE4D6E" w:rsidRPr="00AE4D6E" w:rsidRDefault="00AE4D6E" w:rsidP="00AE4D6E">
      <w:pPr>
        <w:tabs>
          <w:tab w:val="left" w:pos="150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631"/>
        <w:gridCol w:w="1395"/>
        <w:gridCol w:w="1396"/>
        <w:gridCol w:w="978"/>
        <w:gridCol w:w="978"/>
        <w:gridCol w:w="700"/>
        <w:gridCol w:w="837"/>
        <w:gridCol w:w="697"/>
        <w:gridCol w:w="700"/>
        <w:gridCol w:w="700"/>
        <w:gridCol w:w="2377"/>
      </w:tblGrid>
      <w:tr w:rsidR="00AE4D6E" w:rsidRPr="00AE4D6E" w:rsidTr="00107182">
        <w:trPr>
          <w:trHeight w:val="28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Показатели реализации </w:t>
            </w:r>
          </w:p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Номер мероприятия в перечне мероприятий подпрограммы и код (Y.XX.ZZ)</w:t>
            </w:r>
          </w:p>
        </w:tc>
      </w:tr>
      <w:tr w:rsidR="00AE4D6E" w:rsidRPr="00AE4D6E" w:rsidTr="00107182">
        <w:trPr>
          <w:trHeight w:val="34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6E" w:rsidRPr="00AE4D6E" w:rsidRDefault="00AE4D6E" w:rsidP="00107182">
            <w:pPr>
              <w:ind w:left="-57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6E" w:rsidRPr="00AE4D6E" w:rsidRDefault="00AE4D6E" w:rsidP="001071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6E" w:rsidRPr="00AE4D6E" w:rsidRDefault="00AE4D6E" w:rsidP="001071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2026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2027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2028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bCs/>
                <w:sz w:val="22"/>
                <w:szCs w:val="22"/>
              </w:rPr>
              <w:t>2029</w:t>
            </w: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E4D6E" w:rsidRPr="00AE4D6E" w:rsidTr="0010718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E4D6E" w:rsidRPr="00AE4D6E" w:rsidTr="00107182">
        <w:trPr>
          <w:trHeight w:val="32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      </w:r>
          </w:p>
        </w:tc>
      </w:tr>
      <w:tr w:rsidR="00AE4D6E" w:rsidRPr="00AE4D6E" w:rsidTr="00107182">
        <w:trPr>
          <w:trHeight w:val="32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6E" w:rsidRPr="00AE4D6E" w:rsidRDefault="00AE4D6E" w:rsidP="00107182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Количество квадратных метров непригодного для проживания жилищного фонда, признанного аварийными</w:t>
            </w:r>
            <w:r w:rsidRPr="00AE4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после 01.01.2017</w:t>
            </w: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 xml:space="preserve"> года, расселенного по Подпрограмме 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Тысяча квадратных метров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4,034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6,445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4.01.01</w:t>
            </w:r>
          </w:p>
        </w:tc>
      </w:tr>
      <w:tr w:rsidR="00AE4D6E" w:rsidRPr="00AE4D6E" w:rsidTr="00107182">
        <w:trPr>
          <w:trHeight w:val="32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6E" w:rsidRPr="00AE4D6E" w:rsidRDefault="00AE4D6E" w:rsidP="00107182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граждан, расселенных из непригодного для проживания жилищного фонда, признанного аварийными </w:t>
            </w:r>
            <w:r w:rsidRPr="00AE4D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после 01.01.2017</w:t>
            </w: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 xml:space="preserve"> года, расселенного по Подпрограмме 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Тысяча человек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0,330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6E" w:rsidRPr="00AE4D6E" w:rsidRDefault="00AE4D6E" w:rsidP="001071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D6E">
              <w:rPr>
                <w:rFonts w:ascii="Times New Roman" w:hAnsi="Times New Roman" w:cs="Times New Roman"/>
                <w:sz w:val="22"/>
                <w:szCs w:val="22"/>
              </w:rPr>
              <w:t>4.01.01</w:t>
            </w:r>
          </w:p>
        </w:tc>
      </w:tr>
    </w:tbl>
    <w:p w:rsidR="00AE4D6E" w:rsidRPr="00AE4D6E" w:rsidRDefault="00AE4D6E" w:rsidP="00AE4D6E">
      <w:pPr>
        <w:tabs>
          <w:tab w:val="left" w:pos="1500"/>
        </w:tabs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»;</w:t>
      </w:r>
    </w:p>
    <w:p w:rsidR="001F0852" w:rsidRPr="00B96995" w:rsidRDefault="00AE4D6E" w:rsidP="001F0852">
      <w:pPr>
        <w:tabs>
          <w:tab w:val="left" w:pos="150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="001F0852" w:rsidRPr="00B96995">
        <w:rPr>
          <w:rFonts w:ascii="Times New Roman" w:eastAsia="Times New Roman" w:hAnsi="Times New Roman" w:cs="Times New Roman"/>
          <w:color w:val="auto"/>
        </w:rPr>
        <w:t>. Раздел 12 «</w:t>
      </w:r>
      <w:r w:rsidR="001F0852" w:rsidRPr="00B96995">
        <w:rPr>
          <w:rFonts w:ascii="Times New Roman" w:hAnsi="Times New Roman" w:cs="Times New Roman"/>
          <w:u w:color="2A6EC3"/>
        </w:rPr>
        <w:t xml:space="preserve">Подпрограмма 4 </w:t>
      </w:r>
      <w:r w:rsidR="001F0852" w:rsidRPr="00B96995">
        <w:rPr>
          <w:rFonts w:ascii="Times New Roman" w:hAnsi="Times New Roman" w:cs="Times New Roman"/>
        </w:rPr>
        <w:t>«Обеспечение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="001F0852" w:rsidRPr="00B96995">
        <w:rPr>
          <w:rFonts w:ascii="Times New Roman" w:eastAsia="Times New Roman" w:hAnsi="Times New Roman" w:cs="Times New Roman"/>
          <w:color w:val="auto"/>
        </w:rPr>
        <w:t>» изложить в следующей редакции:</w:t>
      </w:r>
    </w:p>
    <w:p w:rsidR="0091557F" w:rsidRDefault="001F0852" w:rsidP="0091557F">
      <w:pPr>
        <w:tabs>
          <w:tab w:val="left" w:pos="1500"/>
        </w:tabs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«</w:t>
      </w:r>
    </w:p>
    <w:p w:rsidR="0091557F" w:rsidRPr="0091557F" w:rsidRDefault="0091557F" w:rsidP="0091557F">
      <w:pPr>
        <w:tabs>
          <w:tab w:val="left" w:pos="1500"/>
        </w:tabs>
        <w:jc w:val="center"/>
        <w:rPr>
          <w:rFonts w:ascii="Times New Roman" w:hAnsi="Times New Roman" w:cs="Times New Roman"/>
        </w:rPr>
      </w:pPr>
      <w:r w:rsidRPr="0091557F">
        <w:rPr>
          <w:rFonts w:ascii="Times New Roman" w:hAnsi="Times New Roman" w:cs="Times New Roman"/>
          <w:u w:color="2A6EC3"/>
        </w:rPr>
        <w:t xml:space="preserve">12. Подпрограмма 4 </w:t>
      </w:r>
      <w:r w:rsidRPr="0091557F">
        <w:rPr>
          <w:rFonts w:ascii="Times New Roman" w:hAnsi="Times New Roman" w:cs="Times New Roman"/>
        </w:rPr>
        <w:t xml:space="preserve">«Обеспечение мероприятий по переселению граждан из аварийного жилищного фонда в Московской области, </w:t>
      </w:r>
    </w:p>
    <w:p w:rsidR="0091557F" w:rsidRPr="0091557F" w:rsidRDefault="0091557F" w:rsidP="0091557F">
      <w:pPr>
        <w:tabs>
          <w:tab w:val="left" w:pos="1500"/>
        </w:tabs>
        <w:jc w:val="center"/>
        <w:rPr>
          <w:rFonts w:ascii="Times New Roman" w:hAnsi="Times New Roman" w:cs="Times New Roman"/>
          <w:u w:color="2A6EC3"/>
        </w:rPr>
      </w:pPr>
      <w:r w:rsidRPr="0091557F">
        <w:rPr>
          <w:rFonts w:ascii="Times New Roman" w:hAnsi="Times New Roman" w:cs="Times New Roman"/>
        </w:rPr>
        <w:t>признанного таковым после 1 января 2017 года</w:t>
      </w:r>
      <w:r w:rsidRPr="0091557F">
        <w:rPr>
          <w:rFonts w:ascii="Times New Roman" w:hAnsi="Times New Roman" w:cs="Times New Roman"/>
          <w:u w:color="2A6EC3"/>
        </w:rPr>
        <w:t>»</w:t>
      </w:r>
    </w:p>
    <w:p w:rsidR="0091557F" w:rsidRPr="0091557F" w:rsidRDefault="0091557F" w:rsidP="0091557F">
      <w:pPr>
        <w:tabs>
          <w:tab w:val="left" w:pos="4800"/>
        </w:tabs>
        <w:ind w:firstLine="539"/>
        <w:jc w:val="center"/>
        <w:rPr>
          <w:rFonts w:ascii="Times New Roman" w:hAnsi="Times New Roman" w:cs="Times New Roman"/>
          <w:u w:color="2A6EC3"/>
        </w:rPr>
      </w:pPr>
    </w:p>
    <w:p w:rsidR="0091557F" w:rsidRPr="0091557F" w:rsidRDefault="0091557F" w:rsidP="0091557F">
      <w:pPr>
        <w:tabs>
          <w:tab w:val="left" w:pos="4800"/>
        </w:tabs>
        <w:ind w:firstLine="539"/>
        <w:jc w:val="center"/>
        <w:rPr>
          <w:rFonts w:ascii="Times New Roman" w:hAnsi="Times New Roman" w:cs="Times New Roman"/>
          <w:u w:color="2A6EC3"/>
        </w:rPr>
      </w:pPr>
      <w:r w:rsidRPr="0091557F">
        <w:rPr>
          <w:rFonts w:ascii="Times New Roman" w:hAnsi="Times New Roman" w:cs="Times New Roman"/>
          <w:u w:color="2A6EC3"/>
        </w:rPr>
        <w:t>12.1. Паспорт подпрограммы 4 «</w:t>
      </w:r>
      <w:r w:rsidRPr="0091557F">
        <w:rPr>
          <w:rFonts w:ascii="Times New Roman" w:hAnsi="Times New Roman" w:cs="Times New Roman"/>
        </w:rPr>
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</w:r>
      <w:r w:rsidRPr="0091557F">
        <w:rPr>
          <w:rFonts w:ascii="Times New Roman" w:hAnsi="Times New Roman" w:cs="Times New Roman"/>
          <w:u w:color="2A6EC3"/>
        </w:rPr>
        <w:t>»</w:t>
      </w:r>
    </w:p>
    <w:p w:rsidR="0091557F" w:rsidRPr="0091557F" w:rsidRDefault="0091557F" w:rsidP="0091557F">
      <w:pPr>
        <w:tabs>
          <w:tab w:val="left" w:pos="4800"/>
        </w:tabs>
        <w:ind w:firstLine="539"/>
        <w:jc w:val="center"/>
        <w:rPr>
          <w:rFonts w:ascii="Times New Roman" w:hAnsi="Times New Roman" w:cs="Times New Roman"/>
          <w:sz w:val="22"/>
          <w:szCs w:val="22"/>
          <w:u w:color="2A6EC3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2361"/>
        <w:gridCol w:w="2878"/>
        <w:gridCol w:w="1214"/>
        <w:gridCol w:w="978"/>
        <w:gridCol w:w="1256"/>
        <w:gridCol w:w="978"/>
        <w:gridCol w:w="978"/>
        <w:gridCol w:w="834"/>
        <w:gridCol w:w="1124"/>
      </w:tblGrid>
      <w:tr w:rsidR="0091557F" w:rsidRPr="0091557F" w:rsidTr="00AE4D6E">
        <w:tc>
          <w:tcPr>
            <w:tcW w:w="785" w:type="pc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Управление жилищной политики Администрации городского округа Воскресенск</w:t>
            </w:r>
          </w:p>
        </w:tc>
      </w:tr>
      <w:tr w:rsidR="0091557F" w:rsidRPr="0091557F" w:rsidTr="00AE4D6E">
        <w:tc>
          <w:tcPr>
            <w:tcW w:w="785" w:type="pc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1557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Цели и задачи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91557F" w:rsidRPr="0091557F" w:rsidRDefault="0091557F" w:rsidP="0091557F">
            <w:pPr>
              <w:pStyle w:val="con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557F">
              <w:rPr>
                <w:sz w:val="22"/>
                <w:szCs w:val="22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эксплуатации. Создание безопасных и благоприятных условий проживания граждан.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91557F" w:rsidRPr="0091557F" w:rsidTr="00AE4D6E">
        <w:tc>
          <w:tcPr>
            <w:tcW w:w="785" w:type="pc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1557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4215" w:type="pct"/>
            <w:gridSpan w:val="9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2024 - 2029г.</w:t>
            </w:r>
          </w:p>
        </w:tc>
      </w:tr>
      <w:tr w:rsidR="0091557F" w:rsidRPr="0091557F" w:rsidTr="00AE4D6E">
        <w:tc>
          <w:tcPr>
            <w:tcW w:w="785" w:type="pct"/>
            <w:vMerge w:val="restar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распорядителем бюджетных средств, в том числе по годам: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62" w:type="pct"/>
            <w:gridSpan w:val="7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91557F" w:rsidRPr="0091557F" w:rsidTr="00AE4D6E">
        <w:tc>
          <w:tcPr>
            <w:tcW w:w="785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2027 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279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376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91557F" w:rsidRPr="0091557F" w:rsidTr="00AE4D6E">
        <w:tc>
          <w:tcPr>
            <w:tcW w:w="785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vMerge w:val="restar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Воскресенск Московской области</w:t>
            </w:r>
          </w:p>
        </w:tc>
        <w:tc>
          <w:tcPr>
            <w:tcW w:w="963" w:type="pc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491 754,09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114 872,30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606 626,39</w:t>
            </w:r>
          </w:p>
        </w:tc>
      </w:tr>
      <w:tr w:rsidR="0091557F" w:rsidRPr="0091557F" w:rsidTr="00AE4D6E">
        <w:tc>
          <w:tcPr>
            <w:tcW w:w="785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410 689,99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93 457,94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504 147,93</w:t>
            </w:r>
          </w:p>
        </w:tc>
      </w:tr>
      <w:tr w:rsidR="0091557F" w:rsidRPr="0091557F" w:rsidTr="00AE4D6E">
        <w:tc>
          <w:tcPr>
            <w:tcW w:w="785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91557F" w:rsidRPr="0091557F" w:rsidRDefault="0091557F" w:rsidP="009155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06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81 064,10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21 414,36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102 478,46</w:t>
            </w:r>
          </w:p>
        </w:tc>
      </w:tr>
    </w:tbl>
    <w:p w:rsidR="0091557F" w:rsidRPr="0091557F" w:rsidRDefault="0091557F" w:rsidP="0091557F">
      <w:pPr>
        <w:tabs>
          <w:tab w:val="left" w:pos="1500"/>
        </w:tabs>
        <w:rPr>
          <w:rFonts w:ascii="Times New Roman" w:hAnsi="Times New Roman" w:cs="Times New Roman"/>
          <w:sz w:val="22"/>
          <w:szCs w:val="22"/>
        </w:rPr>
      </w:pPr>
    </w:p>
    <w:p w:rsidR="0091557F" w:rsidRPr="0091557F" w:rsidRDefault="0091557F" w:rsidP="0091557F">
      <w:pPr>
        <w:tabs>
          <w:tab w:val="left" w:pos="1500"/>
        </w:tabs>
        <w:jc w:val="center"/>
        <w:rPr>
          <w:rFonts w:ascii="Times New Roman" w:hAnsi="Times New Roman" w:cs="Times New Roman"/>
        </w:rPr>
      </w:pPr>
      <w:r w:rsidRPr="0091557F">
        <w:rPr>
          <w:rFonts w:ascii="Times New Roman" w:hAnsi="Times New Roman" w:cs="Times New Roman"/>
        </w:rPr>
        <w:t xml:space="preserve">12.2. Перечень мероприятий подпрограммы 4 «Обеспечение мероприятий по переселению граждан из аварийного жилищного фонда </w:t>
      </w:r>
    </w:p>
    <w:p w:rsidR="0091557F" w:rsidRPr="0091557F" w:rsidRDefault="0091557F" w:rsidP="0091557F">
      <w:pPr>
        <w:tabs>
          <w:tab w:val="left" w:pos="1500"/>
        </w:tabs>
        <w:jc w:val="center"/>
        <w:rPr>
          <w:rFonts w:ascii="Times New Roman" w:hAnsi="Times New Roman" w:cs="Times New Roman"/>
        </w:rPr>
      </w:pPr>
      <w:r w:rsidRPr="0091557F">
        <w:rPr>
          <w:rFonts w:ascii="Times New Roman" w:hAnsi="Times New Roman" w:cs="Times New Roman"/>
        </w:rPr>
        <w:t>в Московской области, признанного таковым после 1 января 2017 года»</w:t>
      </w:r>
    </w:p>
    <w:p w:rsidR="0091557F" w:rsidRPr="0091557F" w:rsidRDefault="0091557F" w:rsidP="0091557F">
      <w:pPr>
        <w:tabs>
          <w:tab w:val="left" w:pos="150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26"/>
        <w:gridCol w:w="894"/>
        <w:gridCol w:w="2051"/>
        <w:gridCol w:w="1229"/>
        <w:gridCol w:w="1256"/>
        <w:gridCol w:w="700"/>
        <w:gridCol w:w="1142"/>
        <w:gridCol w:w="816"/>
        <w:gridCol w:w="697"/>
        <w:gridCol w:w="708"/>
        <w:gridCol w:w="1414"/>
        <w:gridCol w:w="1256"/>
      </w:tblGrid>
      <w:tr w:rsidR="0091557F" w:rsidRPr="0091557F" w:rsidTr="0091557F">
        <w:trPr>
          <w:trHeight w:val="397"/>
        </w:trPr>
        <w:tc>
          <w:tcPr>
            <w:tcW w:w="187" w:type="pct"/>
            <w:vMerge w:val="restar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 Всего </w:t>
            </w:r>
          </w:p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779" w:type="pct"/>
            <w:gridSpan w:val="6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 годам реализации (тыс.руб.)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выполнения мероприятий подпрограммы </w:t>
            </w: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pct"/>
            <w:vMerge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473" w:type="pct"/>
            <w:vMerge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7F" w:rsidRPr="0091557F" w:rsidTr="0091557F">
        <w:trPr>
          <w:trHeight w:val="170"/>
        </w:trPr>
        <w:tc>
          <w:tcPr>
            <w:tcW w:w="187" w:type="pc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3" w:type="pc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 w:val="restar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45" w:type="pct"/>
            <w:vMerge w:val="restar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Основное мероприятие 01. </w:t>
            </w: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2024-2029</w:t>
            </w:r>
          </w:p>
        </w:tc>
        <w:tc>
          <w:tcPr>
            <w:tcW w:w="686" w:type="pc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606 626,39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491 754,09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114 872,30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7F" w:rsidRPr="0091557F" w:rsidTr="0091557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1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504 147,93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410 689,99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93 457,94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1557F" w:rsidRPr="0091557F" w:rsidTr="0091557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102 478,46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81 064,10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21 414,36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 w:val="restar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45" w:type="pct"/>
            <w:vMerge w:val="restar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01.01. Обеспечение мероприятий по переселению граждан из аварийного жилищного </w:t>
            </w:r>
            <w:r w:rsidRPr="00915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фонда, признанного таковым после 1 января 2017 года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2024-2029</w:t>
            </w:r>
          </w:p>
        </w:tc>
        <w:tc>
          <w:tcPr>
            <w:tcW w:w="686" w:type="pct"/>
            <w:shd w:val="clear" w:color="auto" w:fill="auto"/>
            <w:hideMark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605 063,39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490 191,09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114 872,30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Отдел расселения аварийного жилищного </w:t>
            </w:r>
            <w:r w:rsidRPr="00915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 Администрации городского округа Воскресенск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Переселению граждан из аварийного жилищного </w:t>
            </w:r>
            <w:r w:rsidRPr="00915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</w:t>
            </w: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1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504 147,93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410 689,99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93 457,94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915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Воскресенск</w:t>
            </w:r>
          </w:p>
        </w:tc>
        <w:tc>
          <w:tcPr>
            <w:tcW w:w="411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100 915,46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79 501,10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21 414,36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 w:val="restar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Мероприятие 01.05. 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2024-2029</w:t>
            </w:r>
          </w:p>
        </w:tc>
        <w:tc>
          <w:tcPr>
            <w:tcW w:w="68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11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1 563,00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1 563,00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Отдел расселения аварийного жилищного фонда Администрации городского округа Воскресенск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Снос аварийного жилья</w:t>
            </w: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1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7F" w:rsidRPr="0091557F" w:rsidTr="0091557F">
        <w:trPr>
          <w:trHeight w:val="283"/>
        </w:trPr>
        <w:tc>
          <w:tcPr>
            <w:tcW w:w="187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1 563,00</w:t>
            </w:r>
          </w:p>
        </w:tc>
        <w:tc>
          <w:tcPr>
            <w:tcW w:w="420" w:type="pct"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sz w:val="22"/>
                <w:szCs w:val="22"/>
              </w:rPr>
              <w:t>1 563,00</w:t>
            </w:r>
          </w:p>
        </w:tc>
        <w:tc>
          <w:tcPr>
            <w:tcW w:w="234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91557F" w:rsidRPr="0091557F" w:rsidRDefault="0091557F" w:rsidP="0091557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557F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91557F" w:rsidRPr="0091557F" w:rsidRDefault="0091557F" w:rsidP="0091557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5D5B" w:rsidRDefault="001F0852" w:rsidP="0091557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».</w:t>
      </w:r>
    </w:p>
    <w:sectPr w:rsidR="006B5D5B" w:rsidSect="00AE4D6E">
      <w:pgSz w:w="16840" w:h="11900" w:orient="landscape" w:code="9"/>
      <w:pgMar w:top="1134" w:right="567" w:bottom="851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9E" w:rsidRDefault="00CC0B9E">
      <w:r>
        <w:separator/>
      </w:r>
    </w:p>
  </w:endnote>
  <w:endnote w:type="continuationSeparator" w:id="0">
    <w:p w:rsidR="00CC0B9E" w:rsidRDefault="00C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A8" w:rsidRDefault="00EF27A8">
    <w:pPr>
      <w:pStyle w:val="a8"/>
      <w:jc w:val="center"/>
    </w:pPr>
  </w:p>
  <w:p w:rsidR="00EF27A8" w:rsidRDefault="00EF27A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F27A8" w:rsidRDefault="00EF27A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9E" w:rsidRDefault="00CC0B9E">
      <w:r>
        <w:separator/>
      </w:r>
    </w:p>
  </w:footnote>
  <w:footnote w:type="continuationSeparator" w:id="0">
    <w:p w:rsidR="00CC0B9E" w:rsidRDefault="00CC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A8" w:rsidRDefault="00EF27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7A8" w:rsidRDefault="00EF27A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EF27A8" w:rsidRDefault="00EF27A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B6"/>
    <w:rsid w:val="000274C9"/>
    <w:rsid w:val="000277C9"/>
    <w:rsid w:val="000308F1"/>
    <w:rsid w:val="000322F2"/>
    <w:rsid w:val="00033B22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27CF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61D4"/>
    <w:rsid w:val="000C72C9"/>
    <w:rsid w:val="000D24CC"/>
    <w:rsid w:val="000D2BDF"/>
    <w:rsid w:val="000D6D3A"/>
    <w:rsid w:val="000D6F10"/>
    <w:rsid w:val="000E3CB0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C00D8"/>
    <w:rsid w:val="001C32E4"/>
    <w:rsid w:val="001C395C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0852"/>
    <w:rsid w:val="001F17C9"/>
    <w:rsid w:val="001F240E"/>
    <w:rsid w:val="001F2B00"/>
    <w:rsid w:val="001F336C"/>
    <w:rsid w:val="001F4B35"/>
    <w:rsid w:val="0020149B"/>
    <w:rsid w:val="0020212E"/>
    <w:rsid w:val="002038B5"/>
    <w:rsid w:val="00212A48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12D"/>
    <w:rsid w:val="00267C81"/>
    <w:rsid w:val="00270818"/>
    <w:rsid w:val="00273315"/>
    <w:rsid w:val="00274465"/>
    <w:rsid w:val="0027451A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A5BD4"/>
    <w:rsid w:val="002B20D0"/>
    <w:rsid w:val="002B2CFB"/>
    <w:rsid w:val="002B6D38"/>
    <w:rsid w:val="002C5C95"/>
    <w:rsid w:val="002C61BE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2628"/>
    <w:rsid w:val="003A4F56"/>
    <w:rsid w:val="003B034B"/>
    <w:rsid w:val="003B3335"/>
    <w:rsid w:val="003B43F6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52E4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7B21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9B1"/>
    <w:rsid w:val="00455E3E"/>
    <w:rsid w:val="004577EF"/>
    <w:rsid w:val="004604A6"/>
    <w:rsid w:val="004605E5"/>
    <w:rsid w:val="00465A79"/>
    <w:rsid w:val="00466262"/>
    <w:rsid w:val="00467BDB"/>
    <w:rsid w:val="00473736"/>
    <w:rsid w:val="004754AD"/>
    <w:rsid w:val="00481E1A"/>
    <w:rsid w:val="0048397F"/>
    <w:rsid w:val="004862A9"/>
    <w:rsid w:val="00486BF0"/>
    <w:rsid w:val="00487CB7"/>
    <w:rsid w:val="004915E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359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FC6"/>
    <w:rsid w:val="00816155"/>
    <w:rsid w:val="00816869"/>
    <w:rsid w:val="0081757D"/>
    <w:rsid w:val="0082027D"/>
    <w:rsid w:val="008202F9"/>
    <w:rsid w:val="00820870"/>
    <w:rsid w:val="00821512"/>
    <w:rsid w:val="00822DD4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7A87"/>
    <w:rsid w:val="00870ADC"/>
    <w:rsid w:val="00873077"/>
    <w:rsid w:val="0087389F"/>
    <w:rsid w:val="00874E3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557B"/>
    <w:rsid w:val="008B6647"/>
    <w:rsid w:val="008C0979"/>
    <w:rsid w:val="008C37D1"/>
    <w:rsid w:val="008C4ECC"/>
    <w:rsid w:val="008C5A70"/>
    <w:rsid w:val="008C7A46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557F"/>
    <w:rsid w:val="00916D4A"/>
    <w:rsid w:val="009179FD"/>
    <w:rsid w:val="00920A97"/>
    <w:rsid w:val="00920ADC"/>
    <w:rsid w:val="0092203E"/>
    <w:rsid w:val="00922504"/>
    <w:rsid w:val="009226D1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4D6E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48B0"/>
    <w:rsid w:val="00B94AFD"/>
    <w:rsid w:val="00B95AE9"/>
    <w:rsid w:val="00B9624C"/>
    <w:rsid w:val="00B96511"/>
    <w:rsid w:val="00BA1DF2"/>
    <w:rsid w:val="00BA44E5"/>
    <w:rsid w:val="00BA46B6"/>
    <w:rsid w:val="00BA58B4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5EC"/>
    <w:rsid w:val="00BC7813"/>
    <w:rsid w:val="00BD0771"/>
    <w:rsid w:val="00BD19F0"/>
    <w:rsid w:val="00BD2712"/>
    <w:rsid w:val="00BD596F"/>
    <w:rsid w:val="00BD694D"/>
    <w:rsid w:val="00BE0D90"/>
    <w:rsid w:val="00BE1C37"/>
    <w:rsid w:val="00BE3D6F"/>
    <w:rsid w:val="00BE3E7F"/>
    <w:rsid w:val="00BE5C65"/>
    <w:rsid w:val="00BE7737"/>
    <w:rsid w:val="00BE7BB3"/>
    <w:rsid w:val="00BE7DCD"/>
    <w:rsid w:val="00BF2AE4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32E9"/>
    <w:rsid w:val="00C56B3D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0B9E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ADD"/>
    <w:rsid w:val="00E6607D"/>
    <w:rsid w:val="00E6712E"/>
    <w:rsid w:val="00E70C75"/>
    <w:rsid w:val="00E71A76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3646"/>
    <w:rsid w:val="00F354AE"/>
    <w:rsid w:val="00F36033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AEE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FD2"/>
    <w:rsid w:val="00FA26EE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1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1F08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9FE9-5C85-4809-B367-010627B0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Зиганшина Екатерина Александровна</cp:lastModifiedBy>
  <cp:revision>2</cp:revision>
  <cp:lastPrinted>2024-04-11T06:12:00Z</cp:lastPrinted>
  <dcterms:created xsi:type="dcterms:W3CDTF">2024-05-29T13:14:00Z</dcterms:created>
  <dcterms:modified xsi:type="dcterms:W3CDTF">2024-05-29T13:14:00Z</dcterms:modified>
</cp:coreProperties>
</file>